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AD43" w14:textId="303E7F9E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EMENDA MODIFICATIVA Nº 0</w:t>
      </w:r>
      <w:r w:rsidR="00EE7E98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6</w:t>
      </w: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/2025</w:t>
      </w:r>
    </w:p>
    <w:p w14:paraId="28748C7A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030/2025, DE 12 DE JUNHO DE 2025</w:t>
      </w:r>
    </w:p>
    <w:p w14:paraId="1A3DF372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55B12F0F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96739B4" w14:textId="5622C8E3" w:rsidR="0076371E" w:rsidRPr="0076371E" w:rsidRDefault="0076371E" w:rsidP="0076371E">
      <w:pPr>
        <w:spacing w:line="360" w:lineRule="auto"/>
        <w:ind w:left="2126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art. 178, inciso IV, do Regimento Interno desta Câmara Municipal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Vereadores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apresentamos a Emenda Modificativa nº 0</w:t>
      </w:r>
      <w:r w:rsidR="00EE7E98">
        <w:rPr>
          <w:rFonts w:ascii="Palatino Linotype" w:eastAsia="Times New Roman" w:hAnsi="Palatino Linotype" w:cs="Times New Roman"/>
          <w:sz w:val="24"/>
          <w:szCs w:val="24"/>
          <w:lang w:eastAsia="pt-BR"/>
        </w:rPr>
        <w:t>6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17 de junho de 2025, ao Projeto de Lei nº 030, de 12 de junho de 2025, para </w:t>
      </w:r>
      <w:r w:rsidR="00EE7E98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corrigir erro redacional no parágrafo único do art. 1º</w:t>
      </w:r>
      <w:r w:rsidR="00E067CC">
        <w:rPr>
          <w:rFonts w:ascii="Palatino Linotype" w:eastAsia="Times New Roman" w:hAnsi="Palatino Linotype" w:cs="Times New Roman"/>
          <w:sz w:val="24"/>
          <w:szCs w:val="24"/>
          <w:lang w:eastAsia="pt-BR"/>
        </w:rPr>
        <w:t>;</w:t>
      </w:r>
      <w:r w:rsidR="00EE7E9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nos incisos dos artigos 3º, 15 e 19</w:t>
      </w:r>
      <w:r w:rsidR="00E067C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; </w:t>
      </w:r>
      <w:r w:rsidR="00EE7E98">
        <w:rPr>
          <w:rFonts w:ascii="Palatino Linotype" w:eastAsia="Times New Roman" w:hAnsi="Palatino Linotype" w:cs="Times New Roman"/>
          <w:sz w:val="24"/>
          <w:szCs w:val="24"/>
          <w:lang w:eastAsia="pt-BR"/>
        </w:rPr>
        <w:t>no caput do art. 15 e seu inciso I</w:t>
      </w:r>
      <w:r w:rsidR="00E067C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e;</w:t>
      </w:r>
      <w:r w:rsidR="00EE7E9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="00E067CC">
        <w:rPr>
          <w:rFonts w:ascii="Palatino Linotype" w:eastAsia="Times New Roman" w:hAnsi="Palatino Linotype" w:cs="Times New Roman"/>
          <w:sz w:val="24"/>
          <w:szCs w:val="24"/>
          <w:lang w:eastAsia="pt-BR"/>
        </w:rPr>
        <w:t>n</w:t>
      </w:r>
      <w:r w:rsidR="00EE7E9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o art. 19, nos termos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da Lei Complementar nº 95, de 26 de fevereiro de 1998.</w:t>
      </w:r>
    </w:p>
    <w:p w14:paraId="581D6D67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7BFAFF67" w14:textId="75E7DD11" w:rsidR="0076371E" w:rsidRPr="0076371E" w:rsidRDefault="0076371E" w:rsidP="0076371E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1º </w:t>
      </w:r>
      <w:r w:rsidR="00E067CC">
        <w:rPr>
          <w:rFonts w:ascii="Palatino Linotype" w:eastAsia="Times New Roman" w:hAnsi="Palatino Linotype" w:cs="Times New Roman"/>
          <w:sz w:val="24"/>
          <w:szCs w:val="24"/>
          <w:lang w:eastAsia="pt-BR"/>
        </w:rPr>
        <w:t>O</w:t>
      </w:r>
      <w:r w:rsid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="00EE7E98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parágrafo único do art. 1º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do Projeto de Lei nº 030, de 12 de junho de 2025, passa a vigorar com a seguinte redação:</w:t>
      </w:r>
    </w:p>
    <w:p w14:paraId="7750FFB8" w14:textId="5ECBB8FE" w:rsidR="00EE7E98" w:rsidRPr="0000252A" w:rsidRDefault="00EE7E98" w:rsidP="00E067CC">
      <w:pPr>
        <w:pStyle w:val="Default"/>
        <w:spacing w:line="360" w:lineRule="auto"/>
        <w:ind w:left="2126"/>
        <w:jc w:val="both"/>
        <w:rPr>
          <w:rFonts w:ascii="Palatino Linotype" w:hAnsi="Palatino Linotype"/>
          <w:sz w:val="23"/>
          <w:szCs w:val="23"/>
        </w:rPr>
      </w:pPr>
      <w:r w:rsidRPr="00E067CC">
        <w:rPr>
          <w:rFonts w:ascii="Palatino Linotype" w:hAnsi="Palatino Linotype"/>
          <w:sz w:val="23"/>
          <w:szCs w:val="23"/>
        </w:rPr>
        <w:t xml:space="preserve">Art. 1º (...) </w:t>
      </w:r>
    </w:p>
    <w:p w14:paraId="601086A8" w14:textId="78D3575E" w:rsidR="0076371E" w:rsidRPr="0000252A" w:rsidRDefault="00EE7E98" w:rsidP="0000252A">
      <w:pPr>
        <w:spacing w:line="360" w:lineRule="auto"/>
        <w:ind w:left="2126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E067CC">
        <w:rPr>
          <w:rFonts w:ascii="Palatino Linotype" w:hAnsi="Palatino Linotype"/>
          <w:sz w:val="23"/>
          <w:szCs w:val="23"/>
        </w:rPr>
        <w:t xml:space="preserve">Parágrafo </w:t>
      </w:r>
      <w:r w:rsidR="00E067CC">
        <w:rPr>
          <w:rFonts w:ascii="Palatino Linotype" w:hAnsi="Palatino Linotype"/>
          <w:sz w:val="23"/>
          <w:szCs w:val="23"/>
        </w:rPr>
        <w:t>ú</w:t>
      </w:r>
      <w:r w:rsidRPr="00E067CC">
        <w:rPr>
          <w:rFonts w:ascii="Palatino Linotype" w:hAnsi="Palatino Linotype"/>
          <w:sz w:val="23"/>
          <w:szCs w:val="23"/>
        </w:rPr>
        <w:t>nico</w:t>
      </w:r>
      <w:r w:rsidR="00E067CC" w:rsidRPr="00E067CC">
        <w:rPr>
          <w:rFonts w:ascii="Palatino Linotype" w:hAnsi="Palatino Linotype"/>
          <w:sz w:val="23"/>
          <w:szCs w:val="23"/>
        </w:rPr>
        <w:t>.</w:t>
      </w:r>
      <w:r w:rsidR="00E067CC">
        <w:rPr>
          <w:rFonts w:ascii="Palatino Linotype" w:hAnsi="Palatino Linotype"/>
          <w:b/>
          <w:bCs/>
          <w:sz w:val="23"/>
          <w:szCs w:val="23"/>
        </w:rPr>
        <w:t xml:space="preserve"> </w:t>
      </w:r>
      <w:r w:rsidRPr="0000252A">
        <w:rPr>
          <w:rFonts w:ascii="Palatino Linotype" w:hAnsi="Palatino Linotype"/>
          <w:sz w:val="23"/>
          <w:szCs w:val="23"/>
        </w:rPr>
        <w:t>Cabe à Secretaria Municipal de Agricultura, Meio Ambiente e Desenvolvimento Rural, através do Serviço de Inspeção Municipal (S.I.M.), dar cumprimento às normas estabelecidas na presente Lei e aplicar as penalidades nela previstas.</w:t>
      </w:r>
    </w:p>
    <w:p w14:paraId="6A490AF6" w14:textId="2B3265F8" w:rsidR="00EE7E98" w:rsidRDefault="00EE7E98" w:rsidP="00EE7E98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 w:rsidR="00C172CA">
        <w:rPr>
          <w:rFonts w:ascii="Palatino Linotype" w:eastAsia="Times New Roman" w:hAnsi="Palatino Linotype" w:cs="Times New Roman"/>
          <w:sz w:val="24"/>
          <w:szCs w:val="24"/>
          <w:lang w:eastAsia="pt-BR"/>
        </w:rPr>
        <w:t>2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O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 w:rsidR="00C172CA">
        <w:rPr>
          <w:rFonts w:ascii="Palatino Linotype" w:eastAsia="Times New Roman" w:hAnsi="Palatino Linotype" w:cs="Times New Roman"/>
          <w:sz w:val="24"/>
          <w:szCs w:val="24"/>
          <w:lang w:eastAsia="pt-BR"/>
        </w:rPr>
        <w:t>3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do Projeto de Lei nº 030, de 12 de junho de 2025, passa a vigorar com a seguinte redação:</w:t>
      </w:r>
    </w:p>
    <w:p w14:paraId="258F5192" w14:textId="3E036C29" w:rsidR="00C172CA" w:rsidRPr="00C172CA" w:rsidRDefault="00C172CA" w:rsidP="00C172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lastRenderedPageBreak/>
        <w:t>Art. 3º</w:t>
      </w:r>
      <w:r>
        <w:rPr>
          <w:rFonts w:ascii="Palatino Linotype" w:hAnsi="Palatino Linotype" w:cs="CIDFont+F4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A fiscalização, de que trata essa lei, far-se-á:</w:t>
      </w:r>
    </w:p>
    <w:p w14:paraId="57549016" w14:textId="4237C391" w:rsidR="00C172CA" w:rsidRPr="00C172CA" w:rsidRDefault="00C172CA" w:rsidP="00C172CA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t xml:space="preserve">I - </w:t>
      </w:r>
      <w:proofErr w:type="gramStart"/>
      <w:r>
        <w:rPr>
          <w:rFonts w:ascii="Palatino Linotype" w:hAnsi="Palatino Linotype" w:cs="CIDFont+F3"/>
          <w:sz w:val="24"/>
          <w:szCs w:val="24"/>
        </w:rPr>
        <w:t>n</w:t>
      </w:r>
      <w:r w:rsidRPr="00C172CA">
        <w:rPr>
          <w:rFonts w:ascii="Palatino Linotype" w:hAnsi="Palatino Linotype" w:cs="CIDFont+F3"/>
          <w:sz w:val="24"/>
          <w:szCs w:val="24"/>
        </w:rPr>
        <w:t>as</w:t>
      </w:r>
      <w:proofErr w:type="gramEnd"/>
      <w:r w:rsidRPr="00C172CA">
        <w:rPr>
          <w:rFonts w:ascii="Palatino Linotype" w:hAnsi="Palatino Linotype" w:cs="CIDFont+F3"/>
          <w:sz w:val="24"/>
          <w:szCs w:val="24"/>
        </w:rPr>
        <w:t xml:space="preserve"> propriedades rurais fornecedoras de matérias-primas destinadas à manipulação</w:t>
      </w:r>
      <w:r>
        <w:rPr>
          <w:rFonts w:ascii="Palatino Linotype" w:hAnsi="Palatino Linotype" w:cs="CIDFont+F3"/>
          <w:sz w:val="24"/>
          <w:szCs w:val="24"/>
        </w:rPr>
        <w:t xml:space="preserve">, </w:t>
      </w:r>
      <w:r w:rsidRPr="00C172CA">
        <w:rPr>
          <w:rFonts w:ascii="Palatino Linotype" w:hAnsi="Palatino Linotype" w:cs="CIDFont+F3"/>
          <w:sz w:val="24"/>
          <w:szCs w:val="24"/>
        </w:rPr>
        <w:t>ou ao processamento de produtos de origem animal;</w:t>
      </w:r>
    </w:p>
    <w:p w14:paraId="451ABF9A" w14:textId="6E724D15" w:rsidR="00C172CA" w:rsidRPr="00C172CA" w:rsidRDefault="00C172CA" w:rsidP="00C172CA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t xml:space="preserve">II - </w:t>
      </w:r>
      <w:proofErr w:type="gramStart"/>
      <w:r>
        <w:rPr>
          <w:rFonts w:ascii="Palatino Linotype" w:hAnsi="Palatino Linotype" w:cs="CIDFont+F3"/>
          <w:sz w:val="24"/>
          <w:szCs w:val="24"/>
        </w:rPr>
        <w:t>n</w:t>
      </w:r>
      <w:r w:rsidRPr="00C172CA">
        <w:rPr>
          <w:rFonts w:ascii="Palatino Linotype" w:hAnsi="Palatino Linotype" w:cs="CIDFont+F3"/>
          <w:sz w:val="24"/>
          <w:szCs w:val="24"/>
        </w:rPr>
        <w:t>os</w:t>
      </w:r>
      <w:proofErr w:type="gramEnd"/>
      <w:r w:rsidRPr="00C172CA">
        <w:rPr>
          <w:rFonts w:ascii="Palatino Linotype" w:hAnsi="Palatino Linotype" w:cs="CIDFont+F3"/>
          <w:sz w:val="24"/>
          <w:szCs w:val="24"/>
        </w:rPr>
        <w:t xml:space="preserve"> estabelecimentos que recebam as diferentes espécies de animais previstas</w:t>
      </w:r>
      <w:r>
        <w:rPr>
          <w:rFonts w:ascii="Palatino Linotype" w:hAnsi="Palatino Linotype" w:cs="CIDFont+F3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na legislação para abate ou industrialização;</w:t>
      </w:r>
    </w:p>
    <w:p w14:paraId="50012E54" w14:textId="3C5F3009" w:rsidR="00C172CA" w:rsidRPr="00C172CA" w:rsidRDefault="00C172CA" w:rsidP="00C172CA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t xml:space="preserve">III - </w:t>
      </w:r>
      <w:r>
        <w:rPr>
          <w:rFonts w:ascii="Palatino Linotype" w:hAnsi="Palatino Linotype" w:cs="CIDFont+F3"/>
          <w:sz w:val="24"/>
          <w:szCs w:val="24"/>
        </w:rPr>
        <w:t>n</w:t>
      </w:r>
      <w:r w:rsidRPr="00C172CA">
        <w:rPr>
          <w:rFonts w:ascii="Palatino Linotype" w:hAnsi="Palatino Linotype" w:cs="CIDFont+F3"/>
          <w:sz w:val="24"/>
          <w:szCs w:val="24"/>
        </w:rPr>
        <w:t>os estabelecimentos que recebam o pescado e seus derivados para manipulação,</w:t>
      </w:r>
      <w:r>
        <w:rPr>
          <w:rFonts w:ascii="Palatino Linotype" w:hAnsi="Palatino Linotype" w:cs="CIDFont+F3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distribuição ou industrialização;</w:t>
      </w:r>
    </w:p>
    <w:p w14:paraId="161FC985" w14:textId="04B6A05A" w:rsidR="00C172CA" w:rsidRDefault="00C172CA" w:rsidP="00C172CA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t xml:space="preserve">IV - </w:t>
      </w:r>
      <w:proofErr w:type="gramStart"/>
      <w:r>
        <w:rPr>
          <w:rFonts w:ascii="Palatino Linotype" w:hAnsi="Palatino Linotype" w:cs="CIDFont+F3"/>
          <w:sz w:val="24"/>
          <w:szCs w:val="24"/>
        </w:rPr>
        <w:t>n</w:t>
      </w:r>
      <w:r w:rsidRPr="00C172CA">
        <w:rPr>
          <w:rFonts w:ascii="Palatino Linotype" w:hAnsi="Palatino Linotype" w:cs="CIDFont+F3"/>
          <w:sz w:val="24"/>
          <w:szCs w:val="24"/>
        </w:rPr>
        <w:t>os</w:t>
      </w:r>
      <w:proofErr w:type="gramEnd"/>
      <w:r w:rsidRPr="00C172CA">
        <w:rPr>
          <w:rFonts w:ascii="Palatino Linotype" w:hAnsi="Palatino Linotype" w:cs="CIDFont+F3"/>
          <w:sz w:val="24"/>
          <w:szCs w:val="24"/>
        </w:rPr>
        <w:t xml:space="preserve"> estabelecimentos que produzam e recebam ovos e seus derivados para</w:t>
      </w:r>
      <w:r>
        <w:rPr>
          <w:rFonts w:ascii="Palatino Linotype" w:hAnsi="Palatino Linotype" w:cs="CIDFont+F3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distribuição ou industrialização;</w:t>
      </w:r>
    </w:p>
    <w:p w14:paraId="4E902CE3" w14:textId="588B7ACD" w:rsidR="00C172CA" w:rsidRPr="00C172CA" w:rsidRDefault="00C172CA" w:rsidP="00C172CA">
      <w:pPr>
        <w:spacing w:line="360" w:lineRule="auto"/>
        <w:ind w:left="2126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t xml:space="preserve">V - </w:t>
      </w:r>
      <w:proofErr w:type="gramStart"/>
      <w:r>
        <w:rPr>
          <w:rFonts w:ascii="Palatino Linotype" w:hAnsi="Palatino Linotype" w:cs="CIDFont+F3"/>
          <w:sz w:val="24"/>
          <w:szCs w:val="24"/>
        </w:rPr>
        <w:t>n</w:t>
      </w:r>
      <w:r w:rsidRPr="00C172CA">
        <w:rPr>
          <w:rFonts w:ascii="Palatino Linotype" w:hAnsi="Palatino Linotype" w:cs="CIDFont+F3"/>
          <w:sz w:val="24"/>
          <w:szCs w:val="24"/>
        </w:rPr>
        <w:t>os</w:t>
      </w:r>
      <w:proofErr w:type="gramEnd"/>
      <w:r w:rsidRPr="00C172CA">
        <w:rPr>
          <w:rFonts w:ascii="Palatino Linotype" w:hAnsi="Palatino Linotype" w:cs="CIDFont+F3"/>
          <w:sz w:val="24"/>
          <w:szCs w:val="24"/>
        </w:rPr>
        <w:t xml:space="preserve"> estabelecimentos que recebam o leite e seus derivados para beneficiamento</w:t>
      </w:r>
      <w:r>
        <w:rPr>
          <w:rFonts w:ascii="Palatino Linotype" w:hAnsi="Palatino Linotype" w:cs="CIDFont+F3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ou industrialização;</w:t>
      </w:r>
    </w:p>
    <w:p w14:paraId="65EF5AEB" w14:textId="25037D5E" w:rsidR="00C172CA" w:rsidRPr="00C172CA" w:rsidRDefault="00C172CA" w:rsidP="00C172CA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t xml:space="preserve">VI - </w:t>
      </w:r>
      <w:proofErr w:type="gramStart"/>
      <w:r>
        <w:rPr>
          <w:rFonts w:ascii="Palatino Linotype" w:hAnsi="Palatino Linotype" w:cs="CIDFont+F3"/>
          <w:sz w:val="24"/>
          <w:szCs w:val="24"/>
        </w:rPr>
        <w:t>n</w:t>
      </w:r>
      <w:r w:rsidRPr="00C172CA">
        <w:rPr>
          <w:rFonts w:ascii="Palatino Linotype" w:hAnsi="Palatino Linotype" w:cs="CIDFont+F3"/>
          <w:sz w:val="24"/>
          <w:szCs w:val="24"/>
        </w:rPr>
        <w:t>os</w:t>
      </w:r>
      <w:proofErr w:type="gramEnd"/>
      <w:r w:rsidRPr="00C172CA">
        <w:rPr>
          <w:rFonts w:ascii="Palatino Linotype" w:hAnsi="Palatino Linotype" w:cs="CIDFont+F3"/>
          <w:sz w:val="24"/>
          <w:szCs w:val="24"/>
        </w:rPr>
        <w:t xml:space="preserve"> estabelecimentos que extraiam ou recebam produtos de abelhas e seus</w:t>
      </w:r>
      <w:r>
        <w:rPr>
          <w:rFonts w:ascii="Palatino Linotype" w:hAnsi="Palatino Linotype" w:cs="CIDFont+F3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derivados para beneficiamento ou industrialização;</w:t>
      </w:r>
    </w:p>
    <w:p w14:paraId="506FBFF9" w14:textId="236E079F" w:rsidR="00C172CA" w:rsidRPr="00C172CA" w:rsidRDefault="00C172CA" w:rsidP="00C172CA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Palatino Linotype" w:hAnsi="Palatino Linotype" w:cs="CIDFont+F3"/>
          <w:sz w:val="24"/>
          <w:szCs w:val="24"/>
        </w:rPr>
      </w:pPr>
      <w:r w:rsidRPr="00C172CA">
        <w:rPr>
          <w:rFonts w:ascii="Palatino Linotype" w:hAnsi="Palatino Linotype" w:cs="CIDFont+F4"/>
          <w:sz w:val="24"/>
          <w:szCs w:val="24"/>
        </w:rPr>
        <w:t xml:space="preserve">VII - </w:t>
      </w:r>
      <w:r>
        <w:rPr>
          <w:rFonts w:ascii="Palatino Linotype" w:hAnsi="Palatino Linotype" w:cs="CIDFont+F3"/>
          <w:sz w:val="24"/>
          <w:szCs w:val="24"/>
        </w:rPr>
        <w:t>n</w:t>
      </w:r>
      <w:r w:rsidRPr="00C172CA">
        <w:rPr>
          <w:rFonts w:ascii="Palatino Linotype" w:hAnsi="Palatino Linotype" w:cs="CIDFont+F3"/>
          <w:sz w:val="24"/>
          <w:szCs w:val="24"/>
        </w:rPr>
        <w:t>os estabelecimentos que recebam, manipulem, armazenem, conservem,</w:t>
      </w:r>
      <w:r>
        <w:rPr>
          <w:rFonts w:ascii="Palatino Linotype" w:hAnsi="Palatino Linotype" w:cs="CIDFont+F3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acondicionem ou expeçam matérias primas e produtos de origem animal comestíveis</w:t>
      </w:r>
      <w:r>
        <w:rPr>
          <w:rFonts w:ascii="Palatino Linotype" w:hAnsi="Palatino Linotype" w:cs="CIDFont+F3"/>
          <w:sz w:val="24"/>
          <w:szCs w:val="24"/>
        </w:rPr>
        <w:t xml:space="preserve"> </w:t>
      </w:r>
      <w:r w:rsidRPr="00C172CA">
        <w:rPr>
          <w:rFonts w:ascii="Palatino Linotype" w:hAnsi="Palatino Linotype" w:cs="CIDFont+F3"/>
          <w:sz w:val="24"/>
          <w:szCs w:val="24"/>
        </w:rPr>
        <w:t>e não comestíveis, procedentes de estabelecimentos registrados ou relacionados</w:t>
      </w:r>
      <w:r>
        <w:rPr>
          <w:rFonts w:ascii="Palatino Linotype" w:hAnsi="Palatino Linotype" w:cs="CIDFont+F3"/>
          <w:sz w:val="24"/>
          <w:szCs w:val="24"/>
        </w:rPr>
        <w:t>.</w:t>
      </w:r>
    </w:p>
    <w:p w14:paraId="4358FF4C" w14:textId="79521607" w:rsidR="00C172CA" w:rsidRDefault="00C172CA" w:rsidP="00C172CA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3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O art.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15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do Projeto de Lei nº 030, de 12 de junho de 2025, passa a vigorar com a seguinte redação:</w:t>
      </w:r>
    </w:p>
    <w:p w14:paraId="28C50C13" w14:textId="6E6DF5F0" w:rsidR="00C172CA" w:rsidRPr="00E067CC" w:rsidRDefault="00C172CA" w:rsidP="00BE3165">
      <w:pPr>
        <w:pStyle w:val="Default"/>
        <w:spacing w:line="360" w:lineRule="auto"/>
        <w:ind w:left="2124"/>
        <w:jc w:val="both"/>
        <w:rPr>
          <w:rFonts w:ascii="Palatino Linotype" w:hAnsi="Palatino Linotype"/>
        </w:rPr>
      </w:pPr>
      <w:r w:rsidRPr="00E067CC">
        <w:rPr>
          <w:rFonts w:ascii="Palatino Linotype" w:hAnsi="Palatino Linotype"/>
        </w:rPr>
        <w:t>Art. 15</w:t>
      </w:r>
      <w:r w:rsidR="00BE3165" w:rsidRPr="00E067CC">
        <w:rPr>
          <w:rFonts w:ascii="Palatino Linotype" w:hAnsi="Palatino Linotype"/>
        </w:rPr>
        <w:t>. (...)</w:t>
      </w:r>
    </w:p>
    <w:p w14:paraId="5D23FE61" w14:textId="0B80E656" w:rsidR="00C172CA" w:rsidRDefault="00C172CA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BE3165">
        <w:rPr>
          <w:rFonts w:ascii="Palatino Linotype" w:hAnsi="Palatino Linotype"/>
          <w:sz w:val="24"/>
          <w:szCs w:val="24"/>
        </w:rPr>
        <w:lastRenderedPageBreak/>
        <w:t xml:space="preserve">I – </w:t>
      </w:r>
      <w:proofErr w:type="gramStart"/>
      <w:r w:rsidRPr="00BE3165">
        <w:rPr>
          <w:rFonts w:ascii="Palatino Linotype" w:hAnsi="Palatino Linotype"/>
          <w:sz w:val="24"/>
          <w:szCs w:val="24"/>
        </w:rPr>
        <w:t>advertência</w:t>
      </w:r>
      <w:proofErr w:type="gramEnd"/>
      <w:r w:rsidRPr="00BE3165">
        <w:rPr>
          <w:rFonts w:ascii="Palatino Linotype" w:hAnsi="Palatino Linotype"/>
          <w:sz w:val="24"/>
          <w:szCs w:val="24"/>
        </w:rPr>
        <w:t>, quando o infrator for primário e não se verificar circunstância agravante;</w:t>
      </w:r>
    </w:p>
    <w:p w14:paraId="0FB1D09A" w14:textId="04FE0076" w:rsidR="00BE3165" w:rsidRPr="00BE3165" w:rsidRDefault="00BE3165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BE3165">
        <w:rPr>
          <w:rFonts w:ascii="Palatino Linotype" w:hAnsi="Palatino Linotype"/>
          <w:sz w:val="24"/>
          <w:szCs w:val="24"/>
        </w:rPr>
        <w:t xml:space="preserve">II – </w:t>
      </w:r>
      <w:proofErr w:type="gramStart"/>
      <w:r>
        <w:rPr>
          <w:rFonts w:ascii="Palatino Linotype" w:hAnsi="Palatino Linotype"/>
          <w:sz w:val="24"/>
          <w:szCs w:val="24"/>
        </w:rPr>
        <w:t>m</w:t>
      </w:r>
      <w:r w:rsidRPr="00BE3165">
        <w:rPr>
          <w:rFonts w:ascii="Palatino Linotype" w:hAnsi="Palatino Linotype"/>
          <w:sz w:val="24"/>
          <w:szCs w:val="24"/>
        </w:rPr>
        <w:t>ulta</w:t>
      </w:r>
      <w:proofErr w:type="gramEnd"/>
      <w:r w:rsidRPr="00BE3165">
        <w:rPr>
          <w:rFonts w:ascii="Palatino Linotype" w:hAnsi="Palatino Linotype"/>
          <w:sz w:val="24"/>
          <w:szCs w:val="24"/>
        </w:rPr>
        <w:t>, no valor de 10 a 1.000 UPF-MT (Unidade Padrão Fiscal do estado do Mato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Grosso).</w:t>
      </w:r>
    </w:p>
    <w:p w14:paraId="46BCA7F9" w14:textId="3B971301" w:rsidR="00BE3165" w:rsidRPr="00BE3165" w:rsidRDefault="00BE3165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BE3165">
        <w:rPr>
          <w:rFonts w:ascii="Palatino Linotype" w:hAnsi="Palatino Linotype"/>
          <w:sz w:val="24"/>
          <w:szCs w:val="24"/>
        </w:rPr>
        <w:t xml:space="preserve">III – </w:t>
      </w:r>
      <w:r>
        <w:rPr>
          <w:rFonts w:ascii="Palatino Linotype" w:hAnsi="Palatino Linotype"/>
          <w:sz w:val="24"/>
          <w:szCs w:val="24"/>
        </w:rPr>
        <w:t>a</w:t>
      </w:r>
      <w:r w:rsidRPr="00BE3165">
        <w:rPr>
          <w:rFonts w:ascii="Palatino Linotype" w:hAnsi="Palatino Linotype"/>
          <w:sz w:val="24"/>
          <w:szCs w:val="24"/>
        </w:rPr>
        <w:t>preensão da matéria-prima, produto, do subproduto e derivados de origem animal,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quando houver indícios de que não apresentem condições higiênico-sanitárias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adequadas ao fim a que se destinam ou forem adulteradas;</w:t>
      </w:r>
    </w:p>
    <w:p w14:paraId="2902E4FE" w14:textId="2D364921" w:rsidR="00BE3165" w:rsidRPr="00BE3165" w:rsidRDefault="00BE3165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BE3165">
        <w:rPr>
          <w:rFonts w:ascii="Palatino Linotype" w:hAnsi="Palatino Linotype"/>
          <w:sz w:val="24"/>
          <w:szCs w:val="24"/>
        </w:rPr>
        <w:t xml:space="preserve">IV – </w:t>
      </w:r>
      <w:r>
        <w:rPr>
          <w:rFonts w:ascii="Palatino Linotype" w:hAnsi="Palatino Linotype"/>
          <w:sz w:val="24"/>
          <w:szCs w:val="24"/>
        </w:rPr>
        <w:t>c</w:t>
      </w:r>
      <w:r w:rsidRPr="00BE3165">
        <w:rPr>
          <w:rFonts w:ascii="Palatino Linotype" w:hAnsi="Palatino Linotype"/>
          <w:sz w:val="24"/>
          <w:szCs w:val="24"/>
        </w:rPr>
        <w:t>ondenação e inutilização da matéria-prima ou do produto, do subproduto ou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do derivado de produto de origem animal, quando não apresentem condições higiênico-sanitárias adequadas ao fim a que se destinam ou forem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adulteradas;</w:t>
      </w:r>
    </w:p>
    <w:p w14:paraId="7A362F1D" w14:textId="73C04E77" w:rsidR="00BE3165" w:rsidRPr="00BE3165" w:rsidRDefault="00BE3165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BE3165">
        <w:rPr>
          <w:rFonts w:ascii="Palatino Linotype" w:hAnsi="Palatino Linotype"/>
          <w:sz w:val="24"/>
          <w:szCs w:val="24"/>
        </w:rPr>
        <w:t xml:space="preserve">V – </w:t>
      </w:r>
      <w:proofErr w:type="gramStart"/>
      <w:r>
        <w:rPr>
          <w:rFonts w:ascii="Palatino Linotype" w:hAnsi="Palatino Linotype"/>
          <w:sz w:val="24"/>
          <w:szCs w:val="24"/>
        </w:rPr>
        <w:t>s</w:t>
      </w:r>
      <w:r w:rsidRPr="00BE3165">
        <w:rPr>
          <w:rFonts w:ascii="Palatino Linotype" w:hAnsi="Palatino Linotype"/>
          <w:sz w:val="24"/>
          <w:szCs w:val="24"/>
        </w:rPr>
        <w:t>uspensão</w:t>
      </w:r>
      <w:proofErr w:type="gramEnd"/>
      <w:r w:rsidRPr="00BE3165">
        <w:rPr>
          <w:rFonts w:ascii="Palatino Linotype" w:hAnsi="Palatino Linotype"/>
          <w:sz w:val="24"/>
          <w:szCs w:val="24"/>
        </w:rPr>
        <w:t xml:space="preserve"> da atividade que cause risco ou ameaça à saúde, constatação de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fraude ou no caso de embaraço à ação fiscalizadora;</w:t>
      </w:r>
    </w:p>
    <w:p w14:paraId="6B112551" w14:textId="1A86CAC5" w:rsidR="00BE3165" w:rsidRDefault="00BE3165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BE3165">
        <w:rPr>
          <w:rFonts w:ascii="Palatino Linotype" w:hAnsi="Palatino Linotype"/>
          <w:sz w:val="24"/>
          <w:szCs w:val="24"/>
        </w:rPr>
        <w:t xml:space="preserve">VI – </w:t>
      </w:r>
      <w:proofErr w:type="gramStart"/>
      <w:r>
        <w:rPr>
          <w:rFonts w:ascii="Palatino Linotype" w:hAnsi="Palatino Linotype"/>
          <w:sz w:val="24"/>
          <w:szCs w:val="24"/>
        </w:rPr>
        <w:t>i</w:t>
      </w:r>
      <w:r w:rsidRPr="00BE3165">
        <w:rPr>
          <w:rFonts w:ascii="Palatino Linotype" w:hAnsi="Palatino Linotype"/>
          <w:sz w:val="24"/>
          <w:szCs w:val="24"/>
        </w:rPr>
        <w:t>nterdição</w:t>
      </w:r>
      <w:proofErr w:type="gramEnd"/>
      <w:r w:rsidRPr="00BE3165">
        <w:rPr>
          <w:rFonts w:ascii="Palatino Linotype" w:hAnsi="Palatino Linotype"/>
          <w:sz w:val="24"/>
          <w:szCs w:val="24"/>
        </w:rPr>
        <w:t xml:space="preserve"> total ou parcial do estabelecimento, quando a infração consistir na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adulteração ou falsificação habitual do produto, ou se verificar, mediante inspeção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 xml:space="preserve">técnica realizada pela autoridade competente, a inexistência de condições </w:t>
      </w:r>
      <w:r w:rsidRPr="00BE3165">
        <w:rPr>
          <w:rFonts w:ascii="Palatino Linotype" w:hAnsi="Palatino Linotype"/>
          <w:sz w:val="24"/>
          <w:szCs w:val="24"/>
        </w:rPr>
        <w:t>higiênico</w:t>
      </w:r>
      <w:r w:rsidR="0000252A">
        <w:rPr>
          <w:rFonts w:ascii="Palatino Linotype" w:hAnsi="Palatino Linotype"/>
          <w:sz w:val="24"/>
          <w:szCs w:val="24"/>
        </w:rPr>
        <w:t>-</w:t>
      </w:r>
      <w:r w:rsidRPr="00BE3165">
        <w:rPr>
          <w:rFonts w:ascii="Palatino Linotype" w:hAnsi="Palatino Linotype"/>
          <w:sz w:val="24"/>
          <w:szCs w:val="24"/>
        </w:rPr>
        <w:t>sanitárias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3165">
        <w:rPr>
          <w:rFonts w:ascii="Palatino Linotype" w:hAnsi="Palatino Linotype"/>
          <w:sz w:val="24"/>
          <w:szCs w:val="24"/>
        </w:rPr>
        <w:t>adequadas.</w:t>
      </w:r>
    </w:p>
    <w:p w14:paraId="401D9BCB" w14:textId="4D9320D4" w:rsidR="0000252A" w:rsidRDefault="0000252A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§1º (...)</w:t>
      </w:r>
    </w:p>
    <w:p w14:paraId="205F38F0" w14:textId="19BC33C4" w:rsidR="0000252A" w:rsidRDefault="0000252A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§2º(...)</w:t>
      </w:r>
    </w:p>
    <w:p w14:paraId="641A9E19" w14:textId="5C32D7EF" w:rsidR="0000252A" w:rsidRDefault="0000252A" w:rsidP="00BE3165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§3º (...)</w:t>
      </w:r>
    </w:p>
    <w:p w14:paraId="5EB195B5" w14:textId="0B99472F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lastRenderedPageBreak/>
        <w:t xml:space="preserve">I – </w:t>
      </w:r>
      <w:proofErr w:type="gramStart"/>
      <w:r>
        <w:rPr>
          <w:rFonts w:ascii="Palatino Linotype" w:hAnsi="Palatino Linotype"/>
          <w:sz w:val="24"/>
          <w:szCs w:val="24"/>
        </w:rPr>
        <w:t>p</w:t>
      </w:r>
      <w:r w:rsidRPr="0000252A">
        <w:rPr>
          <w:rFonts w:ascii="Palatino Linotype" w:hAnsi="Palatino Linotype"/>
          <w:sz w:val="24"/>
          <w:szCs w:val="24"/>
        </w:rPr>
        <w:t>rimariedade</w:t>
      </w:r>
      <w:proofErr w:type="gramEnd"/>
      <w:r w:rsidRPr="0000252A">
        <w:rPr>
          <w:rFonts w:ascii="Palatino Linotype" w:hAnsi="Palatino Linotype"/>
          <w:sz w:val="24"/>
          <w:szCs w:val="24"/>
        </w:rPr>
        <w:t>;</w:t>
      </w:r>
    </w:p>
    <w:p w14:paraId="5DC932B8" w14:textId="1B90CB8E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II – </w:t>
      </w:r>
      <w:proofErr w:type="gramStart"/>
      <w:r>
        <w:rPr>
          <w:rFonts w:ascii="Palatino Linotype" w:hAnsi="Palatino Linotype"/>
          <w:sz w:val="24"/>
          <w:szCs w:val="24"/>
        </w:rPr>
        <w:t>g</w:t>
      </w:r>
      <w:r w:rsidRPr="0000252A">
        <w:rPr>
          <w:rFonts w:ascii="Palatino Linotype" w:hAnsi="Palatino Linotype"/>
          <w:sz w:val="24"/>
          <w:szCs w:val="24"/>
        </w:rPr>
        <w:t>ravidade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da infração;</w:t>
      </w:r>
    </w:p>
    <w:p w14:paraId="0AABA140" w14:textId="0309748A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III – </w:t>
      </w:r>
      <w:r>
        <w:rPr>
          <w:rFonts w:ascii="Palatino Linotype" w:hAnsi="Palatino Linotype"/>
          <w:sz w:val="24"/>
          <w:szCs w:val="24"/>
        </w:rPr>
        <w:t>n</w:t>
      </w:r>
      <w:r w:rsidRPr="0000252A">
        <w:rPr>
          <w:rFonts w:ascii="Palatino Linotype" w:hAnsi="Palatino Linotype"/>
          <w:sz w:val="24"/>
          <w:szCs w:val="24"/>
        </w:rPr>
        <w:t>ão embaraço na fiscalização;</w:t>
      </w:r>
    </w:p>
    <w:p w14:paraId="7555D702" w14:textId="51591EC3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IV – </w:t>
      </w:r>
      <w:proofErr w:type="gramStart"/>
      <w:r>
        <w:rPr>
          <w:rFonts w:ascii="Palatino Linotype" w:hAnsi="Palatino Linotype"/>
          <w:sz w:val="24"/>
          <w:szCs w:val="24"/>
        </w:rPr>
        <w:t>c</w:t>
      </w:r>
      <w:r w:rsidRPr="0000252A">
        <w:rPr>
          <w:rFonts w:ascii="Palatino Linotype" w:hAnsi="Palatino Linotype"/>
          <w:sz w:val="24"/>
          <w:szCs w:val="24"/>
        </w:rPr>
        <w:t>apacidade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econômica do infrator;</w:t>
      </w:r>
    </w:p>
    <w:p w14:paraId="792661DB" w14:textId="0B454FC9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V – </w:t>
      </w:r>
      <w:proofErr w:type="gramStart"/>
      <w:r>
        <w:rPr>
          <w:rFonts w:ascii="Palatino Linotype" w:hAnsi="Palatino Linotype"/>
          <w:sz w:val="24"/>
          <w:szCs w:val="24"/>
        </w:rPr>
        <w:t>a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infração não acarretar vantagem econômica para o infrator</w:t>
      </w:r>
      <w:r>
        <w:rPr>
          <w:rFonts w:ascii="Palatino Linotype" w:hAnsi="Palatino Linotype"/>
          <w:sz w:val="24"/>
          <w:szCs w:val="24"/>
        </w:rPr>
        <w:t>;</w:t>
      </w:r>
    </w:p>
    <w:p w14:paraId="2592D420" w14:textId="1B370A88" w:rsid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VI – </w:t>
      </w:r>
      <w:proofErr w:type="gramStart"/>
      <w:r>
        <w:rPr>
          <w:rFonts w:ascii="Palatino Linotype" w:hAnsi="Palatino Linotype"/>
          <w:sz w:val="24"/>
          <w:szCs w:val="24"/>
        </w:rPr>
        <w:t>a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infração não afetar a qualidade do produto.</w:t>
      </w:r>
    </w:p>
    <w:p w14:paraId="299BB576" w14:textId="34281006" w:rsid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§4º (...)</w:t>
      </w:r>
    </w:p>
    <w:p w14:paraId="0C205430" w14:textId="547CFD72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I – </w:t>
      </w:r>
      <w:proofErr w:type="gramStart"/>
      <w:r>
        <w:rPr>
          <w:rFonts w:ascii="Palatino Linotype" w:hAnsi="Palatino Linotype"/>
          <w:sz w:val="24"/>
          <w:szCs w:val="24"/>
        </w:rPr>
        <w:t>r</w:t>
      </w:r>
      <w:r w:rsidRPr="0000252A">
        <w:rPr>
          <w:rFonts w:ascii="Palatino Linotype" w:hAnsi="Palatino Linotype"/>
          <w:sz w:val="24"/>
          <w:szCs w:val="24"/>
        </w:rPr>
        <w:t>eincidência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do infrator;</w:t>
      </w:r>
    </w:p>
    <w:p w14:paraId="4F4A7ABF" w14:textId="4A89572D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II – </w:t>
      </w:r>
      <w:proofErr w:type="gramStart"/>
      <w:r>
        <w:rPr>
          <w:rFonts w:ascii="Palatino Linotype" w:hAnsi="Palatino Linotype"/>
          <w:sz w:val="24"/>
          <w:szCs w:val="24"/>
        </w:rPr>
        <w:t>e</w:t>
      </w:r>
      <w:r w:rsidRPr="0000252A">
        <w:rPr>
          <w:rFonts w:ascii="Palatino Linotype" w:hAnsi="Palatino Linotype"/>
          <w:sz w:val="24"/>
          <w:szCs w:val="24"/>
        </w:rPr>
        <w:t>mbaraço ou obstáculo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à ação fiscal;</w:t>
      </w:r>
    </w:p>
    <w:p w14:paraId="7753CBE6" w14:textId="06521E61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III – </w:t>
      </w:r>
      <w:r>
        <w:rPr>
          <w:rFonts w:ascii="Palatino Linotype" w:hAnsi="Palatino Linotype"/>
          <w:sz w:val="24"/>
          <w:szCs w:val="24"/>
        </w:rPr>
        <w:t xml:space="preserve">a </w:t>
      </w:r>
      <w:r w:rsidRPr="0000252A">
        <w:rPr>
          <w:rFonts w:ascii="Palatino Linotype" w:hAnsi="Palatino Linotype"/>
          <w:sz w:val="24"/>
          <w:szCs w:val="24"/>
        </w:rPr>
        <w:t>infração ser cometida para obtenção de lucro;</w:t>
      </w:r>
    </w:p>
    <w:p w14:paraId="64C22094" w14:textId="79944121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IV – </w:t>
      </w:r>
      <w:proofErr w:type="gramStart"/>
      <w:r>
        <w:rPr>
          <w:rFonts w:ascii="Palatino Linotype" w:hAnsi="Palatino Linotype"/>
          <w:sz w:val="24"/>
          <w:szCs w:val="24"/>
        </w:rPr>
        <w:t>a</w:t>
      </w:r>
      <w:r w:rsidRPr="0000252A">
        <w:rPr>
          <w:rFonts w:ascii="Palatino Linotype" w:hAnsi="Palatino Linotype"/>
          <w:sz w:val="24"/>
          <w:szCs w:val="24"/>
        </w:rPr>
        <w:t>gir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com dolo ou má-fé;</w:t>
      </w:r>
    </w:p>
    <w:p w14:paraId="0668A882" w14:textId="6EF71331" w:rsidR="0000252A" w:rsidRPr="0000252A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V – </w:t>
      </w:r>
      <w:proofErr w:type="gramStart"/>
      <w:r>
        <w:rPr>
          <w:rFonts w:ascii="Palatino Linotype" w:hAnsi="Palatino Linotype"/>
          <w:sz w:val="24"/>
          <w:szCs w:val="24"/>
        </w:rPr>
        <w:t>d</w:t>
      </w:r>
      <w:r w:rsidRPr="0000252A">
        <w:rPr>
          <w:rFonts w:ascii="Palatino Linotype" w:hAnsi="Palatino Linotype"/>
          <w:sz w:val="24"/>
          <w:szCs w:val="24"/>
        </w:rPr>
        <w:t>escaso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com a autoridade fiscalizadora</w:t>
      </w:r>
      <w:r>
        <w:rPr>
          <w:rFonts w:ascii="Palatino Linotype" w:hAnsi="Palatino Linotype"/>
          <w:sz w:val="24"/>
          <w:szCs w:val="24"/>
        </w:rPr>
        <w:t xml:space="preserve">; </w:t>
      </w:r>
    </w:p>
    <w:p w14:paraId="7FFB80F4" w14:textId="63516BA9" w:rsidR="0000252A" w:rsidRPr="00BE3165" w:rsidRDefault="0000252A" w:rsidP="0000252A">
      <w:pPr>
        <w:spacing w:line="360" w:lineRule="auto"/>
        <w:ind w:left="2124"/>
        <w:jc w:val="both"/>
        <w:rPr>
          <w:rFonts w:ascii="Palatino Linotype" w:hAnsi="Palatino Linotype"/>
          <w:sz w:val="24"/>
          <w:szCs w:val="24"/>
        </w:rPr>
      </w:pPr>
      <w:r w:rsidRPr="0000252A">
        <w:rPr>
          <w:rFonts w:ascii="Palatino Linotype" w:hAnsi="Palatino Linotype"/>
          <w:sz w:val="24"/>
          <w:szCs w:val="24"/>
        </w:rPr>
        <w:t xml:space="preserve">VI – </w:t>
      </w:r>
      <w:proofErr w:type="gramStart"/>
      <w:r>
        <w:rPr>
          <w:rFonts w:ascii="Palatino Linotype" w:hAnsi="Palatino Linotype"/>
          <w:sz w:val="24"/>
          <w:szCs w:val="24"/>
        </w:rPr>
        <w:t>a</w:t>
      </w:r>
      <w:proofErr w:type="gramEnd"/>
      <w:r w:rsidRPr="0000252A">
        <w:rPr>
          <w:rFonts w:ascii="Palatino Linotype" w:hAnsi="Palatino Linotype"/>
          <w:sz w:val="24"/>
          <w:szCs w:val="24"/>
        </w:rPr>
        <w:t xml:space="preserve"> infração causar dano à população ou ao consumidor.</w:t>
      </w:r>
    </w:p>
    <w:p w14:paraId="5F31F5FE" w14:textId="541EC182" w:rsidR="00BE3165" w:rsidRDefault="00BE3165" w:rsidP="00BE316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4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O art. 1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7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do Projeto de Lei nº 030, de 12 de junho de 2025, passa a vigorar com a seguinte redação:</w:t>
      </w:r>
    </w:p>
    <w:p w14:paraId="3AF28DF1" w14:textId="25AEA448" w:rsidR="00BE3165" w:rsidRPr="0000252A" w:rsidRDefault="00BE3165" w:rsidP="0000252A">
      <w:pPr>
        <w:spacing w:line="360" w:lineRule="auto"/>
        <w:ind w:left="2126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E067CC">
        <w:rPr>
          <w:rFonts w:ascii="Palatino Linotype" w:hAnsi="Palatino Linotype"/>
          <w:sz w:val="24"/>
          <w:szCs w:val="24"/>
        </w:rPr>
        <w:t>Art. 17</w:t>
      </w:r>
      <w:r w:rsidR="0000252A" w:rsidRPr="00E067CC">
        <w:rPr>
          <w:rFonts w:ascii="Palatino Linotype" w:hAnsi="Palatino Linotype"/>
          <w:sz w:val="24"/>
          <w:szCs w:val="24"/>
        </w:rPr>
        <w:t>.</w:t>
      </w:r>
      <w:r w:rsidR="0000252A" w:rsidRPr="0000252A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00252A">
        <w:rPr>
          <w:rFonts w:ascii="Palatino Linotype" w:hAnsi="Palatino Linotype"/>
          <w:sz w:val="24"/>
          <w:szCs w:val="24"/>
        </w:rPr>
        <w:t xml:space="preserve">Os produtos apreendidos e perdidos em favor do Município de São José do Povo - MT que, apesar das adulterações que resultaram em sua apreensão, apresentarem condições apropriadas ao consumo humano poderão, à critério do serviço de inspeção e Vigilância </w:t>
      </w:r>
      <w:r w:rsidRPr="0000252A">
        <w:rPr>
          <w:rFonts w:ascii="Palatino Linotype" w:hAnsi="Palatino Linotype"/>
          <w:sz w:val="24"/>
          <w:szCs w:val="24"/>
        </w:rPr>
        <w:lastRenderedPageBreak/>
        <w:t>Sanitária Municipal, ser destinados prioritariamente aos programas de segurança alimentar e combate à fome.</w:t>
      </w:r>
    </w:p>
    <w:p w14:paraId="132A40D5" w14:textId="28C2A985" w:rsidR="00BE3165" w:rsidRDefault="00BE3165" w:rsidP="00BE316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5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O art. 1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9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do Projeto de Lei nº 030, de 12 de junho de 2025, passa a vigorar com a seguinte redação:</w:t>
      </w:r>
    </w:p>
    <w:p w14:paraId="18633959" w14:textId="3081EF47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>Art. 19</w:t>
      </w:r>
      <w:r w:rsidR="0000252A">
        <w:rPr>
          <w:rFonts w:ascii="Palatino Linotype" w:hAnsi="Palatino Linotype" w:cs="CIDFont+F4"/>
          <w:sz w:val="24"/>
          <w:szCs w:val="24"/>
        </w:rPr>
        <w:t xml:space="preserve">. </w:t>
      </w:r>
      <w:r w:rsidRPr="0000252A">
        <w:rPr>
          <w:rFonts w:ascii="Palatino Linotype" w:hAnsi="Palatino Linotype" w:cs="CIDFont+F3"/>
          <w:sz w:val="24"/>
          <w:szCs w:val="24"/>
        </w:rPr>
        <w:t>São autoridade competentes para lavrar auto de infração os servidores designados</w:t>
      </w:r>
      <w:r w:rsidR="0000252A">
        <w:rPr>
          <w:rFonts w:ascii="Palatino Linotype" w:hAnsi="Palatino Linotype" w:cs="CIDFont+F3"/>
          <w:sz w:val="24"/>
          <w:szCs w:val="24"/>
        </w:rPr>
        <w:t xml:space="preserve"> </w:t>
      </w:r>
      <w:r w:rsidRPr="0000252A">
        <w:rPr>
          <w:rFonts w:ascii="Palatino Linotype" w:hAnsi="Palatino Linotype" w:cs="CIDFont+F3"/>
          <w:sz w:val="24"/>
          <w:szCs w:val="24"/>
        </w:rPr>
        <w:t>para as atividades de inspeção/fiscalização de produtos de origem animal.</w:t>
      </w:r>
    </w:p>
    <w:p w14:paraId="319BC7E0" w14:textId="439F096E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§1º </w:t>
      </w:r>
      <w:r w:rsidRPr="0000252A">
        <w:rPr>
          <w:rFonts w:ascii="Palatino Linotype" w:hAnsi="Palatino Linotype" w:cs="CIDFont+F3"/>
          <w:sz w:val="24"/>
          <w:szCs w:val="24"/>
        </w:rPr>
        <w:t>O auto de infração conterá os seguintes elementos:</w:t>
      </w:r>
    </w:p>
    <w:p w14:paraId="404FAD39" w14:textId="06762D59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I – </w:t>
      </w:r>
      <w:r w:rsidR="0000252A">
        <w:rPr>
          <w:rFonts w:ascii="Palatino Linotype" w:hAnsi="Palatino Linotype" w:cs="CIDFont+F3"/>
          <w:sz w:val="24"/>
          <w:szCs w:val="24"/>
        </w:rPr>
        <w:t>o</w:t>
      </w:r>
      <w:r w:rsidRPr="0000252A">
        <w:rPr>
          <w:rFonts w:ascii="Palatino Linotype" w:hAnsi="Palatino Linotype" w:cs="CIDFont+F3"/>
          <w:sz w:val="24"/>
          <w:szCs w:val="24"/>
        </w:rPr>
        <w:t xml:space="preserve"> nome e a qualificação do autuado;</w:t>
      </w:r>
    </w:p>
    <w:p w14:paraId="4BB53D2C" w14:textId="378EBEA3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II – </w:t>
      </w:r>
      <w:proofErr w:type="gramStart"/>
      <w:r w:rsidR="0000252A">
        <w:rPr>
          <w:rFonts w:ascii="Palatino Linotype" w:hAnsi="Palatino Linotype" w:cs="CIDFont+F3"/>
          <w:sz w:val="24"/>
          <w:szCs w:val="24"/>
        </w:rPr>
        <w:t>o</w:t>
      </w:r>
      <w:proofErr w:type="gramEnd"/>
      <w:r w:rsidRPr="0000252A">
        <w:rPr>
          <w:rFonts w:ascii="Palatino Linotype" w:hAnsi="Palatino Linotype" w:cs="CIDFont+F3"/>
          <w:sz w:val="24"/>
          <w:szCs w:val="24"/>
        </w:rPr>
        <w:t xml:space="preserve"> local, data e hora da sua lavratura;</w:t>
      </w:r>
    </w:p>
    <w:p w14:paraId="02F8962F" w14:textId="4296EE1B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III – </w:t>
      </w:r>
      <w:r w:rsidR="0000252A">
        <w:rPr>
          <w:rFonts w:ascii="Palatino Linotype" w:hAnsi="Palatino Linotype" w:cs="CIDFont+F3"/>
          <w:sz w:val="24"/>
          <w:szCs w:val="24"/>
        </w:rPr>
        <w:t>a</w:t>
      </w:r>
      <w:r w:rsidRPr="0000252A">
        <w:rPr>
          <w:rFonts w:ascii="Palatino Linotype" w:hAnsi="Palatino Linotype" w:cs="CIDFont+F3"/>
          <w:sz w:val="24"/>
          <w:szCs w:val="24"/>
        </w:rPr>
        <w:t xml:space="preserve"> descrição do fato;</w:t>
      </w:r>
    </w:p>
    <w:p w14:paraId="15A62A58" w14:textId="381C5C65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IV - </w:t>
      </w:r>
      <w:proofErr w:type="gramStart"/>
      <w:r w:rsidR="0000252A">
        <w:rPr>
          <w:rFonts w:ascii="Palatino Linotype" w:hAnsi="Palatino Linotype" w:cs="CIDFont+F3"/>
          <w:sz w:val="24"/>
          <w:szCs w:val="24"/>
        </w:rPr>
        <w:t>o</w:t>
      </w:r>
      <w:proofErr w:type="gramEnd"/>
      <w:r w:rsidRPr="0000252A">
        <w:rPr>
          <w:rFonts w:ascii="Palatino Linotype" w:hAnsi="Palatino Linotype" w:cs="CIDFont+F3"/>
          <w:sz w:val="24"/>
          <w:szCs w:val="24"/>
        </w:rPr>
        <w:t xml:space="preserve"> dispositivo legal ou regulamentar infringido;</w:t>
      </w:r>
    </w:p>
    <w:p w14:paraId="22B33E53" w14:textId="3C854ADB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V – </w:t>
      </w:r>
      <w:proofErr w:type="gramStart"/>
      <w:r w:rsidR="0000252A">
        <w:rPr>
          <w:rFonts w:ascii="Palatino Linotype" w:hAnsi="Palatino Linotype" w:cs="CIDFont+F3"/>
          <w:sz w:val="24"/>
          <w:szCs w:val="24"/>
        </w:rPr>
        <w:t>o</w:t>
      </w:r>
      <w:proofErr w:type="gramEnd"/>
      <w:r w:rsidRPr="0000252A">
        <w:rPr>
          <w:rFonts w:ascii="Palatino Linotype" w:hAnsi="Palatino Linotype" w:cs="CIDFont+F3"/>
          <w:sz w:val="24"/>
          <w:szCs w:val="24"/>
        </w:rPr>
        <w:t xml:space="preserve"> prazo de defesa;</w:t>
      </w:r>
    </w:p>
    <w:p w14:paraId="516AC427" w14:textId="64E84D84" w:rsidR="00BE3165" w:rsidRPr="0000252A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hAnsi="Palatino Linotype" w:cs="CIDFont+F3"/>
          <w:sz w:val="24"/>
          <w:szCs w:val="24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VI – </w:t>
      </w:r>
      <w:proofErr w:type="gramStart"/>
      <w:r w:rsidR="0000252A">
        <w:rPr>
          <w:rFonts w:ascii="Palatino Linotype" w:hAnsi="Palatino Linotype" w:cs="CIDFont+F3"/>
          <w:sz w:val="24"/>
          <w:szCs w:val="24"/>
        </w:rPr>
        <w:t>a</w:t>
      </w:r>
      <w:proofErr w:type="gramEnd"/>
      <w:r w:rsidRPr="0000252A">
        <w:rPr>
          <w:rFonts w:ascii="Palatino Linotype" w:hAnsi="Palatino Linotype" w:cs="CIDFont+F3"/>
          <w:sz w:val="24"/>
          <w:szCs w:val="24"/>
        </w:rPr>
        <w:t xml:space="preserve"> assinatura e identificação do médico veterinário oficial;</w:t>
      </w:r>
    </w:p>
    <w:p w14:paraId="3D08C7E6" w14:textId="2AD01532" w:rsidR="00EE7E98" w:rsidRPr="0076371E" w:rsidRDefault="00BE3165" w:rsidP="0000252A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00252A">
        <w:rPr>
          <w:rFonts w:ascii="Palatino Linotype" w:hAnsi="Palatino Linotype" w:cs="CIDFont+F4"/>
          <w:sz w:val="24"/>
          <w:szCs w:val="24"/>
        </w:rPr>
        <w:t xml:space="preserve">VII – </w:t>
      </w:r>
      <w:r w:rsidR="0000252A">
        <w:rPr>
          <w:rFonts w:ascii="Palatino Linotype" w:hAnsi="Palatino Linotype" w:cs="CIDFont+F3"/>
          <w:sz w:val="24"/>
          <w:szCs w:val="24"/>
        </w:rPr>
        <w:t>a</w:t>
      </w:r>
      <w:r w:rsidRPr="0000252A">
        <w:rPr>
          <w:rFonts w:ascii="Palatino Linotype" w:hAnsi="Palatino Linotype" w:cs="CIDFont+F3"/>
          <w:sz w:val="24"/>
          <w:szCs w:val="24"/>
        </w:rPr>
        <w:t xml:space="preserve"> assinatura do autuado ou em caso de recusa, o fato</w:t>
      </w:r>
      <w:r w:rsidR="0000252A">
        <w:rPr>
          <w:rFonts w:ascii="Palatino Linotype" w:hAnsi="Palatino Linotype" w:cs="CIDFont+F3"/>
          <w:sz w:val="24"/>
          <w:szCs w:val="24"/>
        </w:rPr>
        <w:t xml:space="preserve"> </w:t>
      </w:r>
      <w:r w:rsidRPr="0000252A">
        <w:rPr>
          <w:rFonts w:ascii="Palatino Linotype" w:hAnsi="Palatino Linotype" w:cs="CIDFont+F3"/>
          <w:sz w:val="24"/>
          <w:szCs w:val="24"/>
        </w:rPr>
        <w:t>deve ser consignado no</w:t>
      </w:r>
      <w:r w:rsidR="0000252A">
        <w:rPr>
          <w:rFonts w:ascii="Palatino Linotype" w:hAnsi="Palatino Linotype" w:cs="CIDFont+F3"/>
          <w:sz w:val="24"/>
          <w:szCs w:val="24"/>
        </w:rPr>
        <w:t xml:space="preserve"> </w:t>
      </w:r>
      <w:r w:rsidRPr="0000252A">
        <w:rPr>
          <w:rFonts w:ascii="Palatino Linotype" w:hAnsi="Palatino Linotype" w:cs="CIDFont+F3"/>
          <w:sz w:val="24"/>
          <w:szCs w:val="24"/>
        </w:rPr>
        <w:t>próprio auto de infração.</w:t>
      </w:r>
    </w:p>
    <w:p w14:paraId="02B86C56" w14:textId="2C8F882D" w:rsidR="0076371E" w:rsidRPr="00421BBC" w:rsidRDefault="0076371E" w:rsidP="00421BBC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 w:rsidR="0000252A">
        <w:rPr>
          <w:rFonts w:ascii="Palatino Linotype" w:eastAsia="Times New Roman" w:hAnsi="Palatino Linotype" w:cs="Times New Roman"/>
          <w:sz w:val="24"/>
          <w:szCs w:val="24"/>
          <w:lang w:eastAsia="pt-BR"/>
        </w:rPr>
        <w:t>6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º Esta Emenda entra em vigor com a aprovação do Projeto de Lei nº 030/2025.</w:t>
      </w:r>
    </w:p>
    <w:p w14:paraId="7910D69B" w14:textId="5B18CF28" w:rsidR="00421BBC" w:rsidRPr="0076371E" w:rsidRDefault="00983175" w:rsidP="00E067CC">
      <w:pPr>
        <w:spacing w:line="360" w:lineRule="auto"/>
        <w:ind w:left="70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 Permanentes, São José do Povo, </w:t>
      </w:r>
      <w:r w:rsidR="00DA7A96">
        <w:rPr>
          <w:rFonts w:ascii="Palatino Linotype" w:eastAsia="Times New Roman" w:hAnsi="Palatino Linotype" w:cs="Times New Roman"/>
          <w:sz w:val="24"/>
          <w:szCs w:val="24"/>
          <w:lang w:eastAsia="pt-BR"/>
        </w:rPr>
        <w:t>17</w:t>
      </w: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junho de 2025.</w:t>
      </w:r>
    </w:p>
    <w:p w14:paraId="140C4483" w14:textId="61D026A4" w:rsidR="00983175" w:rsidRPr="00983175" w:rsidRDefault="00983175" w:rsidP="00E067CC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35AD1A60" w14:textId="77777777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4CD9A4F9" w14:textId="1AEBC4DE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549AC4F7" w14:textId="7C91EFBA" w:rsidR="00983175" w:rsidRDefault="00983175" w:rsidP="0076371E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p w14:paraId="4A126463" w14:textId="1A8B2A38" w:rsidR="00A3283C" w:rsidRPr="00A3283C" w:rsidRDefault="00A3283C" w:rsidP="005E6EAB">
      <w:pPr>
        <w:pStyle w:val="NormalWeb"/>
        <w:spacing w:line="360" w:lineRule="auto"/>
        <w:jc w:val="center"/>
        <w:rPr>
          <w:rFonts w:ascii="Palatino Linotype" w:hAnsi="Palatino Linotype"/>
        </w:rPr>
      </w:pPr>
      <w:r w:rsidRPr="00A3283C">
        <w:rPr>
          <w:rStyle w:val="Forte"/>
          <w:rFonts w:ascii="Palatino Linotype" w:hAnsi="Palatino Linotype"/>
        </w:rPr>
        <w:lastRenderedPageBreak/>
        <w:t>JUSTIFICATIVA</w:t>
      </w:r>
    </w:p>
    <w:p w14:paraId="2AF51035" w14:textId="7E911E71" w:rsidR="00E067CC" w:rsidRPr="00E067CC" w:rsidRDefault="00E067CC" w:rsidP="00E067CC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E067CC">
        <w:rPr>
          <w:rFonts w:ascii="Palatino Linotype" w:hAnsi="Palatino Linotype"/>
        </w:rPr>
        <w:t>presente Emenda Modificativa tem por objetivo corrigir falhas de redação identificadas no texto original do Projeto de Lei nº 030/2025, de 12 de junho de 2025, promovendo ajustes formais nos dispositivos mencionados, conforme preconiza a Lei Complementar nº 95, de 26 de fevereiro de 1998, que dispõe sobre a elaboração, a redação, a alteração e a consolidação das leis no âmbito da legislação federal, sendo diretriz amplamente adotada também no âmbito municipal.</w:t>
      </w:r>
    </w:p>
    <w:p w14:paraId="167B9E18" w14:textId="77777777" w:rsidR="00E067CC" w:rsidRPr="00E067CC" w:rsidRDefault="00E067CC" w:rsidP="00E067CC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E067CC">
        <w:rPr>
          <w:rFonts w:ascii="Palatino Linotype" w:hAnsi="Palatino Linotype"/>
        </w:rPr>
        <w:t xml:space="preserve">As alterações propostas abrangem a correção de inconsistências gramaticais, adequação de pontuação, padronização de termos técnicos e aprimoramento da estrutura sintática de dispositivos como os artigos 1º, 3º, 15, 17 e 19. Tais correções visam garantir maior clareza, precisão e segurança jurídica, além de conferir ao texto legislativo maior aderência às normas de </w:t>
      </w:r>
      <w:proofErr w:type="spellStart"/>
      <w:r w:rsidRPr="00E067CC">
        <w:rPr>
          <w:rFonts w:ascii="Palatino Linotype" w:hAnsi="Palatino Linotype"/>
        </w:rPr>
        <w:t>legística</w:t>
      </w:r>
      <w:proofErr w:type="spellEnd"/>
      <w:r w:rsidRPr="00E067CC">
        <w:rPr>
          <w:rFonts w:ascii="Palatino Linotype" w:hAnsi="Palatino Linotype"/>
        </w:rPr>
        <w:t xml:space="preserve"> formal, facilitando sua interpretação e aplicação por parte dos órgãos de fiscalização, da administração pública e dos administrados.</w:t>
      </w:r>
    </w:p>
    <w:p w14:paraId="1F6CB438" w14:textId="77777777" w:rsidR="00E067CC" w:rsidRPr="00E067CC" w:rsidRDefault="00E067CC" w:rsidP="00E067CC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E067CC">
        <w:rPr>
          <w:rFonts w:ascii="Palatino Linotype" w:hAnsi="Palatino Linotype"/>
        </w:rPr>
        <w:t>A Emenda, portanto, não altera o mérito da proposição, mas assegura a coerência interna do texto, aprimorando a forma normativa para que o Projeto de Lei atinja seus objetivos com maior efetividade e respeito aos princípios da legalidade, transparência e eficiência administrativa.</w:t>
      </w:r>
    </w:p>
    <w:p w14:paraId="7CCC5F10" w14:textId="77777777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Sala das Comissões Permanentes, São José do Povo, 17 de junho de 2025.</w:t>
      </w:r>
    </w:p>
    <w:p w14:paraId="0D6E72FA" w14:textId="77777777" w:rsidR="00162348" w:rsidRDefault="00162348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154078D3" w14:textId="77777777" w:rsidR="00162348" w:rsidRDefault="00162348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5EB323FA" w14:textId="77777777" w:rsidR="00162348" w:rsidRDefault="00162348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E00AF6F" w14:textId="19781E5E" w:rsidR="005E6EAB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COMISSÃO DE REDAÇÃO E JUSTIÇA</w:t>
      </w:r>
    </w:p>
    <w:p w14:paraId="3031A8E2" w14:textId="77777777" w:rsidR="00162348" w:rsidRDefault="00162348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B570B0B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154F770C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2496B6DE" w14:textId="77777777" w:rsidR="005E6EAB" w:rsidRDefault="005E6EAB" w:rsidP="005E6EAB">
      <w:pPr>
        <w:spacing w:line="360" w:lineRule="auto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sectPr w:rsidR="005E6EAB" w:rsidSect="0076371E">
      <w:headerReference w:type="default" r:id="rId6"/>
      <w:footerReference w:type="default" r:id="rId7"/>
      <w:pgSz w:w="11906" w:h="16838"/>
      <w:pgMar w:top="1417" w:right="1701" w:bottom="1417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E4B8" w14:textId="77777777" w:rsidR="00673B7F" w:rsidRDefault="00673B7F" w:rsidP="0076371E">
      <w:pPr>
        <w:spacing w:after="0" w:line="240" w:lineRule="auto"/>
      </w:pPr>
      <w:r>
        <w:separator/>
      </w:r>
    </w:p>
  </w:endnote>
  <w:endnote w:type="continuationSeparator" w:id="0">
    <w:p w14:paraId="7BF240E6" w14:textId="77777777" w:rsidR="00673B7F" w:rsidRDefault="00673B7F" w:rsidP="0076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ED8" w14:textId="77777777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Rua João Francisco Duarte, 715 – Centro – CEP 78.773-000 – Fone/Fax (66) 3494-1199</w:t>
    </w:r>
  </w:p>
  <w:p w14:paraId="089A9213" w14:textId="44E43A2B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01D2" w14:textId="77777777" w:rsidR="00673B7F" w:rsidRDefault="00673B7F" w:rsidP="0076371E">
      <w:pPr>
        <w:spacing w:after="0" w:line="240" w:lineRule="auto"/>
      </w:pPr>
      <w:r>
        <w:separator/>
      </w:r>
    </w:p>
  </w:footnote>
  <w:footnote w:type="continuationSeparator" w:id="0">
    <w:p w14:paraId="7A56F32A" w14:textId="77777777" w:rsidR="00673B7F" w:rsidRDefault="00673B7F" w:rsidP="0076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E20C" w14:textId="77777777" w:rsidR="0076371E" w:rsidRPr="0076371E" w:rsidRDefault="0076371E" w:rsidP="0076371E">
    <w:pPr>
      <w:jc w:val="center"/>
      <w:rPr>
        <w:kern w:val="2"/>
        <w:sz w:val="28"/>
        <w:szCs w:val="28"/>
        <w14:ligatures w14:val="standardContextual"/>
      </w:rPr>
    </w:pPr>
    <w:r w:rsidRPr="0076371E">
      <w:rPr>
        <w:noProof/>
        <w:kern w:val="2"/>
        <w14:ligatures w14:val="standardContextual"/>
      </w:rPr>
      <w:drawing>
        <wp:inline distT="0" distB="0" distL="0" distR="0" wp14:anchorId="14BB14E5" wp14:editId="681D57E0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9CD3C" w14:textId="77777777" w:rsidR="0076371E" w:rsidRPr="0076371E" w:rsidRDefault="0076371E" w:rsidP="0076371E">
    <w:pPr>
      <w:jc w:val="center"/>
      <w:rPr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ESTADO DE MATO GROSSO</w:t>
    </w:r>
  </w:p>
  <w:p w14:paraId="7CAFC744" w14:textId="45F9D81A" w:rsidR="0076371E" w:rsidRPr="0076371E" w:rsidRDefault="0076371E" w:rsidP="0076371E">
    <w:pPr>
      <w:jc w:val="center"/>
      <w:rPr>
        <w:b/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CÂMARA MUNICIPAL DE SÃO JOSÉ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5"/>
    <w:rsid w:val="0000252A"/>
    <w:rsid w:val="000A734A"/>
    <w:rsid w:val="00162348"/>
    <w:rsid w:val="00421BBC"/>
    <w:rsid w:val="004A31CB"/>
    <w:rsid w:val="005E6EAB"/>
    <w:rsid w:val="00673B7F"/>
    <w:rsid w:val="00742938"/>
    <w:rsid w:val="0076371E"/>
    <w:rsid w:val="00781810"/>
    <w:rsid w:val="008D044D"/>
    <w:rsid w:val="0093613C"/>
    <w:rsid w:val="00983175"/>
    <w:rsid w:val="00A3283C"/>
    <w:rsid w:val="00A71D35"/>
    <w:rsid w:val="00B349A2"/>
    <w:rsid w:val="00B43BFA"/>
    <w:rsid w:val="00BE3165"/>
    <w:rsid w:val="00C172CA"/>
    <w:rsid w:val="00D05459"/>
    <w:rsid w:val="00DA7A96"/>
    <w:rsid w:val="00E067CC"/>
    <w:rsid w:val="00E81A79"/>
    <w:rsid w:val="00EE7E98"/>
    <w:rsid w:val="00F3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65F"/>
  <w15:chartTrackingRefBased/>
  <w15:docId w15:val="{A4E07491-9C2B-41A7-AD1B-2D83CE1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F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71E"/>
  </w:style>
  <w:style w:type="paragraph" w:styleId="Rodap">
    <w:name w:val="footer"/>
    <w:basedOn w:val="Normal"/>
    <w:link w:val="Rodap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71E"/>
  </w:style>
  <w:style w:type="paragraph" w:styleId="NormalWeb">
    <w:name w:val="Normal (Web)"/>
    <w:basedOn w:val="Normal"/>
    <w:uiPriority w:val="99"/>
    <w:semiHidden/>
    <w:unhideWhenUsed/>
    <w:rsid w:val="00A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283C"/>
    <w:rPr>
      <w:b/>
      <w:bCs/>
    </w:rPr>
  </w:style>
  <w:style w:type="paragraph" w:customStyle="1" w:styleId="Default">
    <w:name w:val="Default"/>
    <w:rsid w:val="00EE7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1098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7</cp:revision>
  <dcterms:created xsi:type="dcterms:W3CDTF">2025-06-16T18:14:00Z</dcterms:created>
  <dcterms:modified xsi:type="dcterms:W3CDTF">2025-06-17T17:03:00Z</dcterms:modified>
</cp:coreProperties>
</file>