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2CBF" w14:textId="580E1DBC" w:rsidR="00A75BAE" w:rsidRPr="00A75BAE" w:rsidRDefault="00A75BAE" w:rsidP="00A75BAE">
      <w:pPr>
        <w:spacing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75BAE">
        <w:rPr>
          <w:rFonts w:ascii="Palatino Linotype" w:hAnsi="Palatino Linotype"/>
          <w:b/>
          <w:bCs/>
          <w:sz w:val="24"/>
          <w:szCs w:val="24"/>
        </w:rPr>
        <w:t>PROJETO DE LEI Nº 00</w:t>
      </w:r>
      <w:r w:rsidR="00115CC5">
        <w:rPr>
          <w:rFonts w:ascii="Palatino Linotype" w:hAnsi="Palatino Linotype"/>
          <w:b/>
          <w:bCs/>
          <w:sz w:val="24"/>
          <w:szCs w:val="24"/>
        </w:rPr>
        <w:t>1</w:t>
      </w:r>
      <w:r w:rsidRPr="00A75BAE">
        <w:rPr>
          <w:rFonts w:ascii="Palatino Linotype" w:hAnsi="Palatino Linotype"/>
          <w:b/>
          <w:bCs/>
          <w:sz w:val="24"/>
          <w:szCs w:val="24"/>
        </w:rPr>
        <w:t xml:space="preserve">/2025 DE </w:t>
      </w:r>
      <w:r w:rsidR="00115CC5">
        <w:rPr>
          <w:rFonts w:ascii="Palatino Linotype" w:hAnsi="Palatino Linotype"/>
          <w:b/>
          <w:bCs/>
          <w:sz w:val="24"/>
          <w:szCs w:val="24"/>
        </w:rPr>
        <w:t>24</w:t>
      </w:r>
      <w:r w:rsidRPr="00A75BAE">
        <w:rPr>
          <w:rFonts w:ascii="Palatino Linotype" w:hAnsi="Palatino Linotype"/>
          <w:b/>
          <w:bCs/>
          <w:sz w:val="24"/>
          <w:szCs w:val="24"/>
        </w:rPr>
        <w:t xml:space="preserve"> DE JANEIRO DE 2025</w:t>
      </w:r>
    </w:p>
    <w:p w14:paraId="43438B7B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14ABD56" w14:textId="5BB3711E" w:rsidR="00A75BAE" w:rsidRPr="00A75BAE" w:rsidRDefault="00A75BAE" w:rsidP="00A75BAE">
      <w:pPr>
        <w:spacing w:line="240" w:lineRule="auto"/>
        <w:ind w:left="4248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Estabelece normas e procedimentos para a concessão e a aplicação de suprimento de fundos no âmbito da Câmara Municipal de</w:t>
      </w:r>
      <w:r>
        <w:rPr>
          <w:rFonts w:ascii="Palatino Linotype" w:hAnsi="Palatino Linotype"/>
          <w:sz w:val="24"/>
          <w:szCs w:val="24"/>
        </w:rPr>
        <w:t xml:space="preserve"> São </w:t>
      </w:r>
      <w:r>
        <w:rPr>
          <w:rFonts w:ascii="Palatino Linotype" w:hAnsi="Palatino Linotype"/>
          <w:sz w:val="24"/>
          <w:szCs w:val="24"/>
        </w:rPr>
        <w:br/>
        <w:t>José do Povo</w:t>
      </w:r>
      <w:r w:rsidRPr="00A75BAE">
        <w:rPr>
          <w:rFonts w:ascii="Palatino Linotype" w:hAnsi="Palatino Linotype"/>
          <w:sz w:val="24"/>
          <w:szCs w:val="24"/>
        </w:rPr>
        <w:t>.</w:t>
      </w:r>
    </w:p>
    <w:p w14:paraId="7B4E42F0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46AE1F5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36B35B8" w14:textId="2246730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 xml:space="preserve">O Prefeito Municipal de São José do Povo, faz saber que a Câmara Municipal aprovou e ele promulga </w:t>
      </w:r>
      <w:r w:rsidR="00115CC5">
        <w:rPr>
          <w:rFonts w:ascii="Palatino Linotype" w:hAnsi="Palatino Linotype"/>
          <w:sz w:val="24"/>
          <w:szCs w:val="24"/>
        </w:rPr>
        <w:t xml:space="preserve">e sanciona </w:t>
      </w:r>
      <w:r w:rsidRPr="00A75BAE">
        <w:rPr>
          <w:rFonts w:ascii="Palatino Linotype" w:hAnsi="Palatino Linotype"/>
          <w:sz w:val="24"/>
          <w:szCs w:val="24"/>
        </w:rPr>
        <w:t>a seguinte Lei:</w:t>
      </w:r>
    </w:p>
    <w:p w14:paraId="12F892C9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F219F88" w14:textId="5BC79CB0" w:rsidR="00A75BAE" w:rsidRPr="00A75BAE" w:rsidRDefault="00A75BAE" w:rsidP="00A75BAE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DO SUPRIMENTO DE FUNDOS.</w:t>
      </w:r>
    </w:p>
    <w:p w14:paraId="13D2FB79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7F1DF3A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1º Poderá ser concedido suprimento de fundos a servidor para pagamento de despesa orçamentária.</w:t>
      </w:r>
    </w:p>
    <w:p w14:paraId="550D7E19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Parágrafo único. Consiste o suprimento de fundos na entrega de numerário a servidor quando, destinado à realização de despesas que, por suas características, não possam subordinar-se ao processo normal de aplicação.</w:t>
      </w:r>
    </w:p>
    <w:p w14:paraId="01AB709C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2º Um único suprimento de fundos poderá se destinar ao pagamento de despesa, à conta de diversos projetos e/ou atividades e/ou elemento de despesa, emitindo-se, neste caso, as notas de empenho de acordo com a natureza da despesa, programa de trabalho e fonte de recursos.</w:t>
      </w:r>
    </w:p>
    <w:p w14:paraId="290BB6E3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§ 1º A nota de empenho deverá conter a especificação da despesa que correrá à conta do suprimento de fundos, ou seja, especificar se a despesa é com prestação de serviços ou com material de consumo.</w:t>
      </w:r>
    </w:p>
    <w:p w14:paraId="4173EE5F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§ 2º O suprimento de fundos utilizará recursos previstos no orçamento da Câmara Municipal de São José do Povo.</w:t>
      </w:r>
    </w:p>
    <w:p w14:paraId="03A6C4C1" w14:textId="30CB61D1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3º O suprimento de fundos somente poderá ser concedido para atender às seguintes despesas:</w:t>
      </w:r>
    </w:p>
    <w:p w14:paraId="2FD6CFD8" w14:textId="43E1F4F2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</w:t>
      </w:r>
      <w:r w:rsidR="00115CC5">
        <w:rPr>
          <w:rFonts w:ascii="Palatino Linotype" w:hAnsi="Palatino Linotype"/>
          <w:sz w:val="24"/>
          <w:szCs w:val="24"/>
        </w:rPr>
        <w:t xml:space="preserve"> -</w:t>
      </w:r>
      <w:r w:rsidRPr="00A75BAE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A75BAE">
        <w:rPr>
          <w:rFonts w:ascii="Palatino Linotype" w:hAnsi="Palatino Linotype"/>
          <w:sz w:val="24"/>
          <w:szCs w:val="24"/>
        </w:rPr>
        <w:t>de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pronto pagamento, entendidas como tais as que devem ser efetuadas para atender às necessidades inadiáveis de serviço, inclusive aquisição de material de </w:t>
      </w:r>
      <w:r w:rsidRPr="00A75BAE">
        <w:rPr>
          <w:rFonts w:ascii="Palatino Linotype" w:hAnsi="Palatino Linotype"/>
          <w:sz w:val="24"/>
          <w:szCs w:val="24"/>
        </w:rPr>
        <w:lastRenderedPageBreak/>
        <w:t>consumo, ainda que exista dotação específica e desde que não exceda, em cada espécie de despesa em face aos valores previstos no artigo 95, § 2º da Lei 14.133/2021 com as suas devidas atualizações.</w:t>
      </w:r>
    </w:p>
    <w:p w14:paraId="5EF05FFE" w14:textId="1DF52B36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II</w:t>
      </w:r>
      <w:r w:rsidR="00115CC5">
        <w:rPr>
          <w:rFonts w:ascii="Palatino Linotype" w:hAnsi="Palatino Linotype"/>
          <w:sz w:val="24"/>
          <w:szCs w:val="24"/>
        </w:rPr>
        <w:t xml:space="preserve"> - </w:t>
      </w:r>
      <w:proofErr w:type="gramStart"/>
      <w:r w:rsidRPr="00A75BAE">
        <w:rPr>
          <w:rFonts w:ascii="Palatino Linotype" w:hAnsi="Palatino Linotype"/>
          <w:sz w:val="24"/>
          <w:szCs w:val="24"/>
        </w:rPr>
        <w:t>de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urgência, emergência ou em situações extraordinárias, que possam causar prejuízos ao erário ou prejudicar o funcionamento do serviço público;</w:t>
      </w:r>
    </w:p>
    <w:p w14:paraId="469F7AE6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§ 1º Considera-se espécie de despesa, para os fins de observância da limitação de que trata o inciso I deste artigo, as realizadas com aquisição de artigos integrantes do mesmo grupo de compras, resultante do desdobramento do Elemento de Despesa.</w:t>
      </w:r>
    </w:p>
    <w:p w14:paraId="6F3AAB69" w14:textId="1804E7C1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 xml:space="preserve">§ 2º O suprimento de fundos apenas será deferido para atender a despesas necessárias à organização e ao funcionamento da Câmara Municipal de </w:t>
      </w:r>
      <w:r w:rsidR="00E943CF">
        <w:rPr>
          <w:rFonts w:ascii="Palatino Linotype" w:hAnsi="Palatino Linotype"/>
          <w:sz w:val="24"/>
          <w:szCs w:val="24"/>
        </w:rPr>
        <w:t xml:space="preserve">São </w:t>
      </w:r>
      <w:r w:rsidR="00E943CF">
        <w:rPr>
          <w:rFonts w:ascii="Palatino Linotype" w:hAnsi="Palatino Linotype"/>
          <w:sz w:val="24"/>
          <w:szCs w:val="24"/>
        </w:rPr>
        <w:br/>
        <w:t>José do Povo</w:t>
      </w:r>
      <w:r w:rsidRPr="00A75BAE">
        <w:rPr>
          <w:rFonts w:ascii="Palatino Linotype" w:hAnsi="Palatino Linotype"/>
          <w:sz w:val="24"/>
          <w:szCs w:val="24"/>
        </w:rPr>
        <w:t>, inclusive para a conservação do seu patrim</w:t>
      </w:r>
      <w:r w:rsidR="00115CC5">
        <w:rPr>
          <w:rFonts w:ascii="Palatino Linotype" w:hAnsi="Palatino Linotype"/>
          <w:sz w:val="24"/>
          <w:szCs w:val="24"/>
        </w:rPr>
        <w:t>ô</w:t>
      </w:r>
      <w:r w:rsidRPr="00A75BAE">
        <w:rPr>
          <w:rFonts w:ascii="Palatino Linotype" w:hAnsi="Palatino Linotype"/>
          <w:sz w:val="24"/>
          <w:szCs w:val="24"/>
        </w:rPr>
        <w:t>nio.</w:t>
      </w:r>
    </w:p>
    <w:p w14:paraId="38CEBD87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4º As despesas devem ser consideradas miúdas e de pronto pagamento e não podem ser para:</w:t>
      </w:r>
    </w:p>
    <w:p w14:paraId="6E49AA8C" w14:textId="25737012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– </w:t>
      </w:r>
      <w:proofErr w:type="gramStart"/>
      <w:r w:rsidRPr="00A75BAE">
        <w:rPr>
          <w:rFonts w:ascii="Palatino Linotype" w:hAnsi="Palatino Linotype"/>
          <w:sz w:val="24"/>
          <w:szCs w:val="24"/>
        </w:rPr>
        <w:t>aquisição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de material de uso ou consumo a longo prazo, com manutenção de estoque próprio;</w:t>
      </w:r>
    </w:p>
    <w:p w14:paraId="1B20BA24" w14:textId="6CC5AA79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– </w:t>
      </w:r>
      <w:proofErr w:type="gramStart"/>
      <w:r w:rsidRPr="00A75BAE">
        <w:rPr>
          <w:rFonts w:ascii="Palatino Linotype" w:hAnsi="Palatino Linotype"/>
          <w:sz w:val="24"/>
          <w:szCs w:val="24"/>
        </w:rPr>
        <w:t>aquisição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de materiais que possuam SRP aprovado, salvo exceções;</w:t>
      </w:r>
    </w:p>
    <w:p w14:paraId="5191C587" w14:textId="3D6E09E2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>– aquisição de equipamentos e materiais que exijam registro no Setor de Patrimônio;</w:t>
      </w:r>
    </w:p>
    <w:p w14:paraId="6053ACB3" w14:textId="1AC1EB30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IV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– </w:t>
      </w:r>
      <w:proofErr w:type="gramStart"/>
      <w:r w:rsidRPr="00A75BAE">
        <w:rPr>
          <w:rFonts w:ascii="Palatino Linotype" w:hAnsi="Palatino Linotype"/>
          <w:sz w:val="24"/>
          <w:szCs w:val="24"/>
        </w:rPr>
        <w:t>serviços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de terceiros ou fornecimentos que possam ser atendidos mediante contrato formal;</w:t>
      </w:r>
    </w:p>
    <w:p w14:paraId="05153502" w14:textId="6AD94D73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V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– </w:t>
      </w:r>
      <w:proofErr w:type="gramStart"/>
      <w:r w:rsidRPr="00A75BAE">
        <w:rPr>
          <w:rFonts w:ascii="Palatino Linotype" w:hAnsi="Palatino Linotype"/>
          <w:sz w:val="24"/>
          <w:szCs w:val="24"/>
        </w:rPr>
        <w:t>ajuda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de custo;</w:t>
      </w:r>
    </w:p>
    <w:p w14:paraId="199F495F" w14:textId="33168498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VI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– </w:t>
      </w:r>
      <w:proofErr w:type="gramStart"/>
      <w:r w:rsidRPr="00A75BAE">
        <w:rPr>
          <w:rFonts w:ascii="Palatino Linotype" w:hAnsi="Palatino Linotype"/>
          <w:sz w:val="24"/>
          <w:szCs w:val="24"/>
        </w:rPr>
        <w:t>aquisição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de combustível no Município em que possua fornecedores contratados;</w:t>
      </w:r>
    </w:p>
    <w:p w14:paraId="0CCE36EA" w14:textId="75B27887" w:rsidR="00E943CF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VII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>– pagamento de multas por infração à legislação de trânsito</w:t>
      </w:r>
      <w:r w:rsidR="00E943CF">
        <w:rPr>
          <w:rFonts w:ascii="Palatino Linotype" w:hAnsi="Palatino Linotype"/>
          <w:sz w:val="24"/>
          <w:szCs w:val="24"/>
        </w:rPr>
        <w:t>.</w:t>
      </w:r>
    </w:p>
    <w:p w14:paraId="0925B2DB" w14:textId="77777777" w:rsidR="00E943CF" w:rsidRPr="00A75BAE" w:rsidRDefault="00E943CF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1902960" w14:textId="77777777" w:rsidR="00A75BAE" w:rsidRPr="00A75BAE" w:rsidRDefault="00A75BAE" w:rsidP="00E943CF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DA REQUISIÇÃO DE SUPRIMENTO DE FUNDOS</w:t>
      </w:r>
    </w:p>
    <w:p w14:paraId="49347729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CCC3349" w14:textId="79E46888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 xml:space="preserve">Art. 5º Somente será requisitado suprimento de fundos em nome de servidor ocupante de cargo efetivo que pertença ao quadro de pessoal da Câmara Municipal de </w:t>
      </w:r>
      <w:r w:rsidR="00E943CF">
        <w:rPr>
          <w:rFonts w:ascii="Palatino Linotype" w:hAnsi="Palatino Linotype"/>
          <w:sz w:val="24"/>
          <w:szCs w:val="24"/>
        </w:rPr>
        <w:t>São José do Povo</w:t>
      </w:r>
      <w:r w:rsidRPr="00A75BAE">
        <w:rPr>
          <w:rFonts w:ascii="Palatino Linotype" w:hAnsi="Palatino Linotype"/>
          <w:sz w:val="24"/>
          <w:szCs w:val="24"/>
        </w:rPr>
        <w:t>.</w:t>
      </w:r>
    </w:p>
    <w:p w14:paraId="4C6A1AE3" w14:textId="5D9D95AB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6º O suprimento de fundos será requisitado:</w:t>
      </w:r>
    </w:p>
    <w:p w14:paraId="1D964AD6" w14:textId="7957BF00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lastRenderedPageBreak/>
        <w:t>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A75BAE">
        <w:rPr>
          <w:rFonts w:ascii="Palatino Linotype" w:hAnsi="Palatino Linotype"/>
          <w:sz w:val="24"/>
          <w:szCs w:val="24"/>
        </w:rPr>
        <w:t>pelo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Presidente da </w:t>
      </w:r>
      <w:r w:rsidR="00E943CF">
        <w:rPr>
          <w:rFonts w:ascii="Palatino Linotype" w:hAnsi="Palatino Linotype"/>
          <w:sz w:val="24"/>
          <w:szCs w:val="24"/>
        </w:rPr>
        <w:t>Câmara</w:t>
      </w:r>
      <w:r w:rsidRPr="00A75BAE">
        <w:rPr>
          <w:rFonts w:ascii="Palatino Linotype" w:hAnsi="Palatino Linotype"/>
          <w:sz w:val="24"/>
          <w:szCs w:val="24"/>
        </w:rPr>
        <w:t>;</w:t>
      </w:r>
    </w:p>
    <w:p w14:paraId="0840FE1A" w14:textId="69EC881F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A75BAE">
        <w:rPr>
          <w:rFonts w:ascii="Palatino Linotype" w:hAnsi="Palatino Linotype"/>
          <w:sz w:val="24"/>
          <w:szCs w:val="24"/>
        </w:rPr>
        <w:t>pelos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servidores efetivos do Poder Legislativo</w:t>
      </w:r>
      <w:r w:rsidR="00E943CF">
        <w:rPr>
          <w:rFonts w:ascii="Palatino Linotype" w:hAnsi="Palatino Linotype"/>
          <w:sz w:val="24"/>
          <w:szCs w:val="24"/>
        </w:rPr>
        <w:t>.</w:t>
      </w:r>
    </w:p>
    <w:p w14:paraId="4060DE52" w14:textId="137E7641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7º</w:t>
      </w:r>
      <w:r w:rsidR="00115CC5">
        <w:rPr>
          <w:rFonts w:ascii="Palatino Linotype" w:hAnsi="Palatino Linotype"/>
          <w:sz w:val="24"/>
          <w:szCs w:val="24"/>
        </w:rPr>
        <w:t>.</w:t>
      </w:r>
      <w:r w:rsidRPr="00A75BAE">
        <w:rPr>
          <w:rFonts w:ascii="Palatino Linotype" w:hAnsi="Palatino Linotype"/>
          <w:sz w:val="24"/>
          <w:szCs w:val="24"/>
        </w:rPr>
        <w:t xml:space="preserve"> A requisição será encaminhada à </w:t>
      </w:r>
      <w:r w:rsidR="00E943CF">
        <w:rPr>
          <w:rFonts w:ascii="Palatino Linotype" w:hAnsi="Palatino Linotype"/>
          <w:sz w:val="24"/>
          <w:szCs w:val="24"/>
        </w:rPr>
        <w:t>Secretaria</w:t>
      </w:r>
      <w:r w:rsidR="00115CC5">
        <w:rPr>
          <w:rFonts w:ascii="Palatino Linotype" w:hAnsi="Palatino Linotype"/>
          <w:sz w:val="24"/>
          <w:szCs w:val="24"/>
        </w:rPr>
        <w:t xml:space="preserve"> Legislativa</w:t>
      </w:r>
      <w:r w:rsidRPr="00A75BAE">
        <w:rPr>
          <w:rFonts w:ascii="Palatino Linotype" w:hAnsi="Palatino Linotype"/>
          <w:sz w:val="24"/>
          <w:szCs w:val="24"/>
        </w:rPr>
        <w:t xml:space="preserve"> e deverá conter:</w:t>
      </w:r>
    </w:p>
    <w:p w14:paraId="785B7496" w14:textId="345F1AE5" w:rsidR="00A75BAE" w:rsidRPr="00115CC5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115CC5">
        <w:rPr>
          <w:rFonts w:ascii="Palatino Linotype" w:hAnsi="Palatino Linotype"/>
          <w:sz w:val="24"/>
          <w:szCs w:val="24"/>
        </w:rPr>
        <w:t>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115CC5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115CC5">
        <w:rPr>
          <w:rFonts w:ascii="Palatino Linotype" w:hAnsi="Palatino Linotype"/>
          <w:sz w:val="24"/>
          <w:szCs w:val="24"/>
        </w:rPr>
        <w:t>o</w:t>
      </w:r>
      <w:proofErr w:type="gramEnd"/>
      <w:r w:rsidRPr="00115CC5">
        <w:rPr>
          <w:rFonts w:ascii="Palatino Linotype" w:hAnsi="Palatino Linotype"/>
          <w:sz w:val="24"/>
          <w:szCs w:val="24"/>
        </w:rPr>
        <w:t xml:space="preserve"> exercício a que pertence a despesa;</w:t>
      </w:r>
    </w:p>
    <w:p w14:paraId="6794866A" w14:textId="35E0540C" w:rsidR="00A75BAE" w:rsidRPr="00115CC5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115CC5">
        <w:rPr>
          <w:rFonts w:ascii="Palatino Linotype" w:hAnsi="Palatino Linotype"/>
          <w:sz w:val="24"/>
          <w:szCs w:val="24"/>
        </w:rPr>
        <w:t>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115CC5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115CC5">
        <w:rPr>
          <w:rFonts w:ascii="Palatino Linotype" w:hAnsi="Palatino Linotype"/>
          <w:sz w:val="24"/>
          <w:szCs w:val="24"/>
        </w:rPr>
        <w:t>o</w:t>
      </w:r>
      <w:proofErr w:type="gramEnd"/>
      <w:r w:rsidRPr="00115CC5">
        <w:rPr>
          <w:rFonts w:ascii="Palatino Linotype" w:hAnsi="Palatino Linotype"/>
          <w:sz w:val="24"/>
          <w:szCs w:val="24"/>
        </w:rPr>
        <w:t xml:space="preserve"> nome, matrícula, setor de lotação e o cargo do responsável pelo suprimento de fundos;</w:t>
      </w:r>
    </w:p>
    <w:p w14:paraId="47F58E50" w14:textId="2F81E29F" w:rsidR="00A75BAE" w:rsidRPr="00115CC5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115CC5">
        <w:rPr>
          <w:rFonts w:ascii="Palatino Linotype" w:hAnsi="Palatino Linotype"/>
          <w:sz w:val="24"/>
          <w:szCs w:val="24"/>
        </w:rPr>
        <w:t>III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115CC5">
        <w:rPr>
          <w:rFonts w:ascii="Palatino Linotype" w:hAnsi="Palatino Linotype"/>
          <w:sz w:val="24"/>
          <w:szCs w:val="24"/>
        </w:rPr>
        <w:t>- o prazo de aplicação;</w:t>
      </w:r>
    </w:p>
    <w:p w14:paraId="32616BEE" w14:textId="3386E3D5" w:rsidR="00A75BAE" w:rsidRPr="00115CC5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115CC5">
        <w:rPr>
          <w:rFonts w:ascii="Palatino Linotype" w:hAnsi="Palatino Linotype"/>
          <w:sz w:val="24"/>
          <w:szCs w:val="24"/>
        </w:rPr>
        <w:t>IV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115CC5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115CC5">
        <w:rPr>
          <w:rFonts w:ascii="Palatino Linotype" w:hAnsi="Palatino Linotype"/>
          <w:sz w:val="24"/>
          <w:szCs w:val="24"/>
        </w:rPr>
        <w:t>o</w:t>
      </w:r>
      <w:proofErr w:type="gramEnd"/>
      <w:r w:rsidRPr="00115CC5">
        <w:rPr>
          <w:rFonts w:ascii="Palatino Linotype" w:hAnsi="Palatino Linotype"/>
          <w:sz w:val="24"/>
          <w:szCs w:val="24"/>
        </w:rPr>
        <w:t xml:space="preserve"> dispositivo legal em que se baseia, com a indicação expressa do item previsto no artigo 3º desta norma;</w:t>
      </w:r>
    </w:p>
    <w:p w14:paraId="5E764D45" w14:textId="045E6151" w:rsidR="00A75BAE" w:rsidRPr="00115CC5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115CC5">
        <w:rPr>
          <w:rFonts w:ascii="Palatino Linotype" w:hAnsi="Palatino Linotype"/>
          <w:sz w:val="24"/>
          <w:szCs w:val="24"/>
        </w:rPr>
        <w:t>V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115CC5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115CC5">
        <w:rPr>
          <w:rFonts w:ascii="Palatino Linotype" w:hAnsi="Palatino Linotype"/>
          <w:sz w:val="24"/>
          <w:szCs w:val="24"/>
        </w:rPr>
        <w:t>a</w:t>
      </w:r>
      <w:proofErr w:type="gramEnd"/>
      <w:r w:rsidRPr="00115CC5">
        <w:rPr>
          <w:rFonts w:ascii="Palatino Linotype" w:hAnsi="Palatino Linotype"/>
          <w:sz w:val="24"/>
          <w:szCs w:val="24"/>
        </w:rPr>
        <w:t xml:space="preserve"> indicação do fim a que se destina;</w:t>
      </w:r>
    </w:p>
    <w:p w14:paraId="160E02B1" w14:textId="1D9957A0" w:rsidR="00A75BAE" w:rsidRPr="00115CC5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115CC5">
        <w:rPr>
          <w:rFonts w:ascii="Palatino Linotype" w:hAnsi="Palatino Linotype"/>
          <w:sz w:val="24"/>
          <w:szCs w:val="24"/>
        </w:rPr>
        <w:t>VI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115CC5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115CC5">
        <w:rPr>
          <w:rFonts w:ascii="Palatino Linotype" w:hAnsi="Palatino Linotype"/>
          <w:sz w:val="24"/>
          <w:szCs w:val="24"/>
        </w:rPr>
        <w:t>a</w:t>
      </w:r>
      <w:proofErr w:type="gramEnd"/>
      <w:r w:rsidRPr="00115CC5">
        <w:rPr>
          <w:rFonts w:ascii="Palatino Linotype" w:hAnsi="Palatino Linotype"/>
          <w:sz w:val="24"/>
          <w:szCs w:val="24"/>
        </w:rPr>
        <w:t xml:space="preserve"> importância em algarismo e por extenso</w:t>
      </w:r>
      <w:r w:rsidR="00E943CF" w:rsidRPr="00115CC5">
        <w:rPr>
          <w:rFonts w:ascii="Palatino Linotype" w:hAnsi="Palatino Linotype"/>
          <w:sz w:val="24"/>
          <w:szCs w:val="24"/>
        </w:rPr>
        <w:t>.</w:t>
      </w:r>
    </w:p>
    <w:p w14:paraId="7B898491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289ED8F" w14:textId="77777777" w:rsidR="00A75BAE" w:rsidRPr="00A75BAE" w:rsidRDefault="00A75BAE" w:rsidP="00E943CF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DOS RESPONSÁVEIS POR SUPRIMENTOS DE FUNDOS</w:t>
      </w:r>
    </w:p>
    <w:p w14:paraId="60C38A31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89975CF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8º A responsabilidade pela aplicação de suprimento de fundos não poderá ser transferida a outro servidor.</w:t>
      </w:r>
    </w:p>
    <w:p w14:paraId="42495147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9º O suprimento de fundos não será concedido a servidor:</w:t>
      </w:r>
    </w:p>
    <w:p w14:paraId="11BFEAC9" w14:textId="49A4957D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A75BAE">
        <w:rPr>
          <w:rFonts w:ascii="Palatino Linotype" w:hAnsi="Palatino Linotype"/>
          <w:sz w:val="24"/>
          <w:szCs w:val="24"/>
        </w:rPr>
        <w:t>que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seja responsável por dois suprimentos de fundos;</w:t>
      </w:r>
    </w:p>
    <w:p w14:paraId="0A9EDA45" w14:textId="2703EE9C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A75BAE">
        <w:rPr>
          <w:rFonts w:ascii="Palatino Linotype" w:hAnsi="Palatino Linotype"/>
          <w:sz w:val="24"/>
          <w:szCs w:val="24"/>
        </w:rPr>
        <w:t>em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atraso na prestação de contas de suprimento de fundos;</w:t>
      </w:r>
    </w:p>
    <w:p w14:paraId="205A012C" w14:textId="7180B0F8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>- que esteja envolvido em irregularidade pendente de apuração em processo administrativo</w:t>
      </w:r>
      <w:r w:rsidR="00E943CF">
        <w:rPr>
          <w:rFonts w:ascii="Palatino Linotype" w:hAnsi="Palatino Linotype"/>
          <w:sz w:val="24"/>
          <w:szCs w:val="24"/>
        </w:rPr>
        <w:t>.</w:t>
      </w:r>
    </w:p>
    <w:p w14:paraId="4A881260" w14:textId="34B7C3BD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Parágrafo único. O disposto neste artigo deverá ser consignado no processo de concessão.</w:t>
      </w:r>
    </w:p>
    <w:p w14:paraId="6135C48A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6C1CFE7" w14:textId="77777777" w:rsidR="00A75BAE" w:rsidRPr="00A75BAE" w:rsidRDefault="00A75BAE" w:rsidP="00E943CF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DA AUTORIZAÇÃO DE SUPRIMENTO DE FUNDOS</w:t>
      </w:r>
    </w:p>
    <w:p w14:paraId="3CA8FF4B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DDFBC23" w14:textId="2442E0D3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10º. Os suprimentos de fundos serão autorizados pelo Gestor desta Casa de Leis, em cada caso, até o limite correspondente ao valor estabelecido no artigo 95, § 2º da Lei 14.133/2021 com as suas devidas atualizações.</w:t>
      </w:r>
    </w:p>
    <w:p w14:paraId="7B415BA2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lastRenderedPageBreak/>
        <w:t>Art. 11. O suprimento de fundos será depositado em conta bancaria em nome do responsável pelo recebimento do suprimento de fundos.</w:t>
      </w:r>
    </w:p>
    <w:p w14:paraId="15655CA7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26ED5C3" w14:textId="13C64783" w:rsidR="00A75BAE" w:rsidRPr="00A75BAE" w:rsidRDefault="00A75BAE" w:rsidP="00E943CF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DA APLICAÇÃO DO SUPRIMENTO DE FUNDOS</w:t>
      </w:r>
    </w:p>
    <w:p w14:paraId="38B21E58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10B4A8B" w14:textId="62F0D1DF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 xml:space="preserve">Art. 12. O suprimento de fundos será concedido para aplicação no prazo máximo de </w:t>
      </w:r>
      <w:r w:rsidR="005802D1" w:rsidRPr="00115CC5">
        <w:rPr>
          <w:rFonts w:ascii="Palatino Linotype" w:hAnsi="Palatino Linotype"/>
          <w:sz w:val="24"/>
          <w:szCs w:val="24"/>
        </w:rPr>
        <w:t>60</w:t>
      </w:r>
      <w:r w:rsidRPr="00115CC5">
        <w:rPr>
          <w:rFonts w:ascii="Palatino Linotype" w:hAnsi="Palatino Linotype"/>
          <w:sz w:val="24"/>
          <w:szCs w:val="24"/>
        </w:rPr>
        <w:t xml:space="preserve"> (trinta) dias </w:t>
      </w:r>
      <w:r w:rsidRPr="00A75BAE">
        <w:rPr>
          <w:rFonts w:ascii="Palatino Linotype" w:hAnsi="Palatino Linotype"/>
          <w:sz w:val="24"/>
          <w:szCs w:val="24"/>
        </w:rPr>
        <w:t>corridos e será fixado no ato da concessão.</w:t>
      </w:r>
    </w:p>
    <w:p w14:paraId="693792E1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Parágrafo único. O prazo de aplicação será contado a partir da data do crédito em conta do servidor em agência bancária.</w:t>
      </w:r>
    </w:p>
    <w:p w14:paraId="140AC085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13. O suprimento de fundos não poderá ter aplicação além do término do exercício financeiro em que for concedido.</w:t>
      </w:r>
    </w:p>
    <w:p w14:paraId="7B886EAD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14. A aplicação do suprimento de fundos somente poderá ser efetuada a partir da data do seu recebimento e dentro do prazo fixado.</w:t>
      </w:r>
    </w:p>
    <w:p w14:paraId="3C0AE42D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15. O reforço de suprimento de fundos poderá ser concedido mediante justificativa circunstanciada do responsável pela aplicação à autoridade responsável.</w:t>
      </w:r>
    </w:p>
    <w:p w14:paraId="08E0599C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§ 1º O reforço do suprimento de fundos deverá ser autorizado pela mesma autoridade que o concedeu e obedecerá ao disposto nesta Resolução.</w:t>
      </w:r>
    </w:p>
    <w:p w14:paraId="21DA5F2F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§ 2º O reforço do suprimento de fundos será aplicado e comprovado dentro dos prazos fixados para o suprimento de fundos a que se referir.</w:t>
      </w:r>
    </w:p>
    <w:p w14:paraId="518259AD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16. O suprimento de fundos concedido para atender determinada natureza de despesa não poderá ter aplicação diferente daquela para a qual foi autorizada.</w:t>
      </w:r>
    </w:p>
    <w:p w14:paraId="10B72641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17. As despesas acessórias e indispensáveis à aplicação do suprimento de fundos correrão também por conta deste.</w:t>
      </w:r>
    </w:p>
    <w:p w14:paraId="5D434E5F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 xml:space="preserve">Art. 18. O pagamento da despesa será efetuado por meio de cartão, </w:t>
      </w:r>
      <w:proofErr w:type="spellStart"/>
      <w:r w:rsidRPr="00A75BAE">
        <w:rPr>
          <w:rFonts w:ascii="Palatino Linotype" w:hAnsi="Palatino Linotype"/>
          <w:sz w:val="24"/>
          <w:szCs w:val="24"/>
        </w:rPr>
        <w:t>pix</w:t>
      </w:r>
      <w:proofErr w:type="spellEnd"/>
      <w:r w:rsidRPr="00A75BAE">
        <w:rPr>
          <w:rFonts w:ascii="Palatino Linotype" w:hAnsi="Palatino Linotype"/>
          <w:sz w:val="24"/>
          <w:szCs w:val="24"/>
        </w:rPr>
        <w:t xml:space="preserve"> ou em dinheiro mediante comprovação de pagamento emitido pelo recebedor do dinheiro.</w:t>
      </w:r>
    </w:p>
    <w:p w14:paraId="7A228CA4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Parágrafo único. O responsável pela aplicação do suprimento de fundos não poderá pagar a si mesmo.</w:t>
      </w:r>
    </w:p>
    <w:p w14:paraId="1A7A72A1" w14:textId="2C0A3CCD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19. Os documentos fiscais relativos à aplicação do suprimento de fundos deverão ser extraídos em nome da Câmara Municipal de</w:t>
      </w:r>
      <w:r w:rsidR="005802D1">
        <w:rPr>
          <w:rFonts w:ascii="Palatino Linotype" w:hAnsi="Palatino Linotype"/>
          <w:sz w:val="24"/>
          <w:szCs w:val="24"/>
        </w:rPr>
        <w:t xml:space="preserve"> São José do Povo</w:t>
      </w:r>
      <w:r w:rsidRPr="00A75BAE">
        <w:rPr>
          <w:rFonts w:ascii="Palatino Linotype" w:hAnsi="Palatino Linotype"/>
          <w:sz w:val="24"/>
          <w:szCs w:val="24"/>
        </w:rPr>
        <w:t>, e os recibos não-fiscais, passados em nome do suprido.</w:t>
      </w:r>
    </w:p>
    <w:p w14:paraId="668C587D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lastRenderedPageBreak/>
        <w:t>Art. 20. Os abatimentos de preços concedidos deverão ser demonstrados nos documentos fiscais, devendo a despesa ser indicada na comprovação pelo valor líquido.</w:t>
      </w:r>
    </w:p>
    <w:p w14:paraId="1D6F5135" w14:textId="5AEFD0BD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 xml:space="preserve">Art. 21. O recolhimento do saldo do suprimento de fundos deverá ser feito através de Depósito Identificando à Câmara Municipal de </w:t>
      </w:r>
      <w:r w:rsidR="005802D1">
        <w:rPr>
          <w:rFonts w:ascii="Palatino Linotype" w:hAnsi="Palatino Linotype"/>
          <w:sz w:val="24"/>
          <w:szCs w:val="24"/>
        </w:rPr>
        <w:t>São José do Povo</w:t>
      </w:r>
      <w:r w:rsidRPr="00A75BAE">
        <w:rPr>
          <w:rFonts w:ascii="Palatino Linotype" w:hAnsi="Palatino Linotype"/>
          <w:sz w:val="24"/>
          <w:szCs w:val="24"/>
        </w:rPr>
        <w:t xml:space="preserve">, que deverá ser acompanhada de notificação </w:t>
      </w:r>
      <w:r w:rsidR="005802D1">
        <w:rPr>
          <w:rFonts w:ascii="Palatino Linotype" w:hAnsi="Palatino Linotype"/>
          <w:sz w:val="24"/>
          <w:szCs w:val="24"/>
        </w:rPr>
        <w:t xml:space="preserve">ao Setor de </w:t>
      </w:r>
      <w:r w:rsidR="00115CC5">
        <w:rPr>
          <w:rFonts w:ascii="Palatino Linotype" w:hAnsi="Palatino Linotype"/>
          <w:sz w:val="24"/>
          <w:szCs w:val="24"/>
        </w:rPr>
        <w:t>C</w:t>
      </w:r>
      <w:r w:rsidR="005802D1">
        <w:rPr>
          <w:rFonts w:ascii="Palatino Linotype" w:hAnsi="Palatino Linotype"/>
          <w:sz w:val="24"/>
          <w:szCs w:val="24"/>
        </w:rPr>
        <w:t>ontabilidade</w:t>
      </w:r>
      <w:r w:rsidRPr="00A75BAE">
        <w:rPr>
          <w:rFonts w:ascii="Palatino Linotype" w:hAnsi="Palatino Linotype"/>
          <w:sz w:val="24"/>
          <w:szCs w:val="24"/>
        </w:rPr>
        <w:t>, no prazo de 48 (quarenta e oito) horas, a partir do término do período de aplicação e em nenhuma hipótese poderá ultrapassar o exercício financeiro.</w:t>
      </w:r>
    </w:p>
    <w:p w14:paraId="528B1720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Parágrafo único. O valor do saldo recolhido, de que trata o “caput” deste artigo deverá ser revertido à dotação orçamentária própria após anulação da respetiva nota de empenho.</w:t>
      </w:r>
    </w:p>
    <w:p w14:paraId="67563AD9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21C97EE" w14:textId="77777777" w:rsidR="00A75BAE" w:rsidRPr="00A75BAE" w:rsidRDefault="00A75BAE" w:rsidP="005802D1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DA PRESTAÇÃO DE CONTAS DE SUPRIMENTO DE FUNDOS</w:t>
      </w:r>
    </w:p>
    <w:p w14:paraId="11CCBEC8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6BFB8F3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22. A prestação de contas de suprimento de fundos será efetuada no prazo de 15 (quinze) dias, a contar do término do período de aplicação.</w:t>
      </w:r>
    </w:p>
    <w:p w14:paraId="34272841" w14:textId="2F296520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Parágrafo único. O responsável pelo suprimento de fundos organizará sua prestação de contas com o auxílio d</w:t>
      </w:r>
      <w:r w:rsidR="005802D1">
        <w:rPr>
          <w:rFonts w:ascii="Palatino Linotype" w:hAnsi="Palatino Linotype"/>
          <w:sz w:val="24"/>
          <w:szCs w:val="24"/>
        </w:rPr>
        <w:t>o Setor de Contabilidade</w:t>
      </w:r>
      <w:r w:rsidRPr="00A75BAE">
        <w:rPr>
          <w:rFonts w:ascii="Palatino Linotype" w:hAnsi="Palatino Linotype"/>
          <w:sz w:val="24"/>
          <w:szCs w:val="24"/>
        </w:rPr>
        <w:t>.</w:t>
      </w:r>
    </w:p>
    <w:p w14:paraId="5D4027B1" w14:textId="2C311A71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 xml:space="preserve">Art. 23. </w:t>
      </w:r>
      <w:r w:rsidR="005802D1">
        <w:rPr>
          <w:rFonts w:ascii="Palatino Linotype" w:hAnsi="Palatino Linotype"/>
          <w:sz w:val="24"/>
          <w:szCs w:val="24"/>
        </w:rPr>
        <w:t>Ao Setor de Contabilidade</w:t>
      </w:r>
      <w:r w:rsidRPr="00A75BAE">
        <w:rPr>
          <w:rFonts w:ascii="Palatino Linotype" w:hAnsi="Palatino Linotype"/>
          <w:sz w:val="24"/>
          <w:szCs w:val="24"/>
        </w:rPr>
        <w:t xml:space="preserve"> compete:</w:t>
      </w:r>
    </w:p>
    <w:p w14:paraId="023362EE" w14:textId="3B9C27F6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A75BAE">
        <w:rPr>
          <w:rFonts w:ascii="Palatino Linotype" w:hAnsi="Palatino Linotype"/>
          <w:sz w:val="24"/>
          <w:szCs w:val="24"/>
        </w:rPr>
        <w:t>orientar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os responsáveis por suprimentos de fundos na elaboração da prestação de contas;</w:t>
      </w:r>
    </w:p>
    <w:p w14:paraId="3B542842" w14:textId="0C2FA2E1" w:rsidR="00A75BAE" w:rsidRPr="005802D1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A75BAE">
        <w:rPr>
          <w:rFonts w:ascii="Palatino Linotype" w:hAnsi="Palatino Linotype"/>
          <w:sz w:val="24"/>
          <w:szCs w:val="24"/>
        </w:rPr>
        <w:t>verificar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se a documentação está em perfeita ordem;</w:t>
      </w:r>
      <w:r w:rsidRPr="005802D1">
        <w:rPr>
          <w:rFonts w:ascii="Palatino Linotype" w:hAnsi="Palatino Linotype"/>
          <w:color w:val="FF0000"/>
          <w:sz w:val="24"/>
          <w:szCs w:val="24"/>
        </w:rPr>
        <w:t xml:space="preserve"> </w:t>
      </w:r>
    </w:p>
    <w:p w14:paraId="62432725" w14:textId="786CA54E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</w:t>
      </w:r>
      <w:r w:rsidR="005802D1">
        <w:rPr>
          <w:rFonts w:ascii="Palatino Linotype" w:hAnsi="Palatino Linotype"/>
          <w:sz w:val="24"/>
          <w:szCs w:val="24"/>
        </w:rPr>
        <w:t>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>- proceder ao recolhimento do saldo do suprimento constante da conciliação.</w:t>
      </w:r>
    </w:p>
    <w:p w14:paraId="4541AF9A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24. A prestação de contas será constituída dos seguintes documentos:</w:t>
      </w:r>
    </w:p>
    <w:p w14:paraId="03FA75C6" w14:textId="7A834672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A75BAE">
        <w:rPr>
          <w:rFonts w:ascii="Palatino Linotype" w:hAnsi="Palatino Linotype"/>
          <w:sz w:val="24"/>
          <w:szCs w:val="24"/>
        </w:rPr>
        <w:t>conta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corrente de débito e crédito, observando:</w:t>
      </w:r>
    </w:p>
    <w:p w14:paraId="3A84E3B4" w14:textId="6C90E1D8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a)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>a débito será lançada a importância do suprimento de fundos recebido e, se for o caso, da quantia correspondente ao seu reforço;</w:t>
      </w:r>
    </w:p>
    <w:p w14:paraId="172041C4" w14:textId="68F91425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b)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>os créditos serão lançados as importâncias da despesa paga com indicação dos documentos correspondentes, bem como o valor do saldo recolhido;</w:t>
      </w:r>
    </w:p>
    <w:p w14:paraId="4B87B9B8" w14:textId="42A24E21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A75BAE">
        <w:rPr>
          <w:rFonts w:ascii="Palatino Linotype" w:hAnsi="Palatino Linotype"/>
          <w:sz w:val="24"/>
          <w:szCs w:val="24"/>
        </w:rPr>
        <w:t>comprovantes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da despesa realizada, em original, por ordem de data;</w:t>
      </w:r>
    </w:p>
    <w:p w14:paraId="30ECA68E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lastRenderedPageBreak/>
        <w:t>III- relação especificada das despesas miúdas, assim conceituadas as de valor inferior a 1% (um por cento) do valor de dispensa de licitação estabelecido no artigo 95, § 2º da Lei 14.133/2021, de cuja realização não se exija a emissão de documento fiscal, dada a natureza de cada uma, bem como as circunstâncias em que tenha ocorrido, caso em que deverá ser colhido recibo do credor;</w:t>
      </w:r>
    </w:p>
    <w:p w14:paraId="01BE5FD8" w14:textId="4AE2D72C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IV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="00115CC5">
        <w:rPr>
          <w:rFonts w:ascii="Palatino Linotype" w:hAnsi="Palatino Linotype"/>
          <w:sz w:val="24"/>
          <w:szCs w:val="24"/>
        </w:rPr>
        <w:t>c</w:t>
      </w:r>
      <w:r w:rsidRPr="00A75BAE">
        <w:rPr>
          <w:rFonts w:ascii="Palatino Linotype" w:hAnsi="Palatino Linotype"/>
          <w:sz w:val="24"/>
          <w:szCs w:val="24"/>
        </w:rPr>
        <w:t>omprovante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do recolhimento do saldo do suprimento de fundos;</w:t>
      </w:r>
    </w:p>
    <w:p w14:paraId="28859D4F" w14:textId="0D9D7319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V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A75BAE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="00115CC5">
        <w:rPr>
          <w:rFonts w:ascii="Palatino Linotype" w:hAnsi="Palatino Linotype"/>
          <w:sz w:val="24"/>
          <w:szCs w:val="24"/>
        </w:rPr>
        <w:t>c</w:t>
      </w:r>
      <w:r w:rsidRPr="00A75BAE">
        <w:rPr>
          <w:rFonts w:ascii="Palatino Linotype" w:hAnsi="Palatino Linotype"/>
          <w:sz w:val="24"/>
          <w:szCs w:val="24"/>
        </w:rPr>
        <w:t>omprovante</w:t>
      </w:r>
      <w:proofErr w:type="gramEnd"/>
      <w:r w:rsidRPr="00A75BAE">
        <w:rPr>
          <w:rFonts w:ascii="Palatino Linotype" w:hAnsi="Palatino Linotype"/>
          <w:sz w:val="24"/>
          <w:szCs w:val="24"/>
        </w:rPr>
        <w:t xml:space="preserve"> do deposito ou transferência </w:t>
      </w:r>
      <w:r w:rsidR="005802D1" w:rsidRPr="00A75BAE">
        <w:rPr>
          <w:rFonts w:ascii="Palatino Linotype" w:hAnsi="Palatino Linotype"/>
          <w:sz w:val="24"/>
          <w:szCs w:val="24"/>
        </w:rPr>
        <w:t>eletrônica</w:t>
      </w:r>
      <w:r w:rsidRPr="00A75BAE">
        <w:rPr>
          <w:rFonts w:ascii="Palatino Linotype" w:hAnsi="Palatino Linotype"/>
          <w:sz w:val="24"/>
          <w:szCs w:val="24"/>
        </w:rPr>
        <w:t xml:space="preserve"> do deposito em conta corrente bancária, no caso de entrega do suprimento mediante crédito em conta</w:t>
      </w:r>
      <w:r w:rsidR="00164475">
        <w:rPr>
          <w:rFonts w:ascii="Palatino Linotype" w:hAnsi="Palatino Linotype"/>
          <w:sz w:val="24"/>
          <w:szCs w:val="24"/>
        </w:rPr>
        <w:t>.</w:t>
      </w:r>
    </w:p>
    <w:p w14:paraId="3386D1C6" w14:textId="4A92D43D" w:rsidR="00A75BAE" w:rsidRPr="00115CC5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115CC5">
        <w:rPr>
          <w:rFonts w:ascii="Palatino Linotype" w:hAnsi="Palatino Linotype"/>
          <w:sz w:val="24"/>
          <w:szCs w:val="24"/>
        </w:rPr>
        <w:t>Art. 25. Nos comprovantes de despesa deverão constar:</w:t>
      </w:r>
    </w:p>
    <w:p w14:paraId="562A74B7" w14:textId="1D1DAE28" w:rsidR="00A75BAE" w:rsidRPr="00115CC5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115CC5">
        <w:rPr>
          <w:rFonts w:ascii="Palatino Linotype" w:hAnsi="Palatino Linotype"/>
          <w:sz w:val="24"/>
          <w:szCs w:val="24"/>
        </w:rPr>
        <w:t>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115CC5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115CC5">
        <w:rPr>
          <w:rFonts w:ascii="Palatino Linotype" w:hAnsi="Palatino Linotype"/>
          <w:sz w:val="24"/>
          <w:szCs w:val="24"/>
        </w:rPr>
        <w:t>atestação</w:t>
      </w:r>
      <w:proofErr w:type="gramEnd"/>
      <w:r w:rsidRPr="00115CC5">
        <w:rPr>
          <w:rFonts w:ascii="Palatino Linotype" w:hAnsi="Palatino Linotype"/>
          <w:sz w:val="24"/>
          <w:szCs w:val="24"/>
        </w:rPr>
        <w:t xml:space="preserve"> do recebimento do material ou da prestação de serviço, pelo servidor a quem tenha cabido o recebimento ou quando houver sido o próprio responsável pelo suprimento de fundos, por outro servidor do órgão em que ocorreu a entrega do material ou a prestação do serviço;</w:t>
      </w:r>
    </w:p>
    <w:p w14:paraId="35CC7DE0" w14:textId="5293BD88" w:rsidR="00A75BAE" w:rsidRPr="00115CC5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115CC5">
        <w:rPr>
          <w:rFonts w:ascii="Palatino Linotype" w:hAnsi="Palatino Linotype"/>
          <w:sz w:val="24"/>
          <w:szCs w:val="24"/>
        </w:rPr>
        <w:t>II</w:t>
      </w:r>
      <w:r w:rsidR="00115CC5">
        <w:rPr>
          <w:rFonts w:ascii="Palatino Linotype" w:hAnsi="Palatino Linotype"/>
          <w:sz w:val="24"/>
          <w:szCs w:val="24"/>
        </w:rPr>
        <w:t xml:space="preserve"> </w:t>
      </w:r>
      <w:r w:rsidRPr="00115CC5">
        <w:rPr>
          <w:rFonts w:ascii="Palatino Linotype" w:hAnsi="Palatino Linotype"/>
          <w:sz w:val="24"/>
          <w:szCs w:val="24"/>
        </w:rPr>
        <w:t xml:space="preserve">- </w:t>
      </w:r>
      <w:proofErr w:type="gramStart"/>
      <w:r w:rsidRPr="00115CC5">
        <w:rPr>
          <w:rFonts w:ascii="Palatino Linotype" w:hAnsi="Palatino Linotype"/>
          <w:sz w:val="24"/>
          <w:szCs w:val="24"/>
        </w:rPr>
        <w:t>visto</w:t>
      </w:r>
      <w:proofErr w:type="gramEnd"/>
      <w:r w:rsidRPr="00115CC5">
        <w:rPr>
          <w:rFonts w:ascii="Palatino Linotype" w:hAnsi="Palatino Linotype"/>
          <w:sz w:val="24"/>
          <w:szCs w:val="24"/>
        </w:rPr>
        <w:t xml:space="preserve"> da autoridade requisitante do suprimento de fundos</w:t>
      </w:r>
      <w:r w:rsidR="00164475" w:rsidRPr="00115CC5">
        <w:rPr>
          <w:rFonts w:ascii="Palatino Linotype" w:hAnsi="Palatino Linotype"/>
          <w:sz w:val="24"/>
          <w:szCs w:val="24"/>
        </w:rPr>
        <w:t>.</w:t>
      </w:r>
    </w:p>
    <w:p w14:paraId="0105DBB6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Art. 26. Ressalvada a hipótese prevista no item III, do artigo 23, não será considerada nenhuma despesa sem o respetivo documento fiscal.</w:t>
      </w:r>
    </w:p>
    <w:p w14:paraId="1161D9FB" w14:textId="2A3B4746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 xml:space="preserve">Art. </w:t>
      </w:r>
      <w:r w:rsidR="00115CC5">
        <w:rPr>
          <w:rFonts w:ascii="Palatino Linotype" w:hAnsi="Palatino Linotype"/>
          <w:sz w:val="24"/>
          <w:szCs w:val="24"/>
        </w:rPr>
        <w:t>27</w:t>
      </w:r>
      <w:r w:rsidRPr="00A75BAE">
        <w:rPr>
          <w:rFonts w:ascii="Palatino Linotype" w:hAnsi="Palatino Linotype"/>
          <w:sz w:val="24"/>
          <w:szCs w:val="24"/>
        </w:rPr>
        <w:t>. As prestações de contas de suprimento de fundos que apresentarem irregularidades insanável serão encaminhadas ao Tribunal de Contas do Estado de Mato Grosso pela Presidência.</w:t>
      </w:r>
    </w:p>
    <w:p w14:paraId="06F808B3" w14:textId="3D2C5EAC" w:rsidR="009E1259" w:rsidRDefault="00A75BAE" w:rsidP="00A75BAE">
      <w:pPr>
        <w:spacing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 xml:space="preserve">Art. </w:t>
      </w:r>
      <w:r w:rsidR="00115CC5">
        <w:rPr>
          <w:rFonts w:ascii="Palatino Linotype" w:hAnsi="Palatino Linotype"/>
          <w:sz w:val="24"/>
          <w:szCs w:val="24"/>
        </w:rPr>
        <w:t>28</w:t>
      </w:r>
      <w:r w:rsidRPr="00A75BAE">
        <w:rPr>
          <w:rFonts w:ascii="Palatino Linotype" w:hAnsi="Palatino Linotype"/>
          <w:sz w:val="24"/>
          <w:szCs w:val="24"/>
        </w:rPr>
        <w:t xml:space="preserve">. O responsável por suprimento de fundos que deixar de recolher o saldo existente ou deixar de prestar contas dentro dos prazos previstos nesta </w:t>
      </w:r>
      <w:r w:rsidR="00115CC5">
        <w:rPr>
          <w:rFonts w:ascii="Palatino Linotype" w:hAnsi="Palatino Linotype"/>
          <w:sz w:val="24"/>
          <w:szCs w:val="24"/>
        </w:rPr>
        <w:t>Lei</w:t>
      </w:r>
      <w:r w:rsidRPr="00A75BAE">
        <w:rPr>
          <w:rFonts w:ascii="Palatino Linotype" w:hAnsi="Palatino Linotype"/>
          <w:sz w:val="24"/>
          <w:szCs w:val="24"/>
        </w:rPr>
        <w:t xml:space="preserve"> estará sujeito a todas as sanções previstas </w:t>
      </w:r>
      <w:r w:rsidRPr="009E1259">
        <w:rPr>
          <w:rFonts w:ascii="Palatino Linotype" w:hAnsi="Palatino Linotype"/>
          <w:sz w:val="24"/>
          <w:szCs w:val="24"/>
        </w:rPr>
        <w:t xml:space="preserve">na </w:t>
      </w:r>
      <w:r w:rsidR="009E1259" w:rsidRPr="009E1259">
        <w:rPr>
          <w:rFonts w:ascii="Palatino Linotype" w:eastAsia="Times New Roman" w:hAnsi="Palatino Linotype" w:cs="Times New Roman"/>
          <w:color w:val="000000"/>
          <w:sz w:val="24"/>
          <w:szCs w:val="24"/>
        </w:rPr>
        <w:t>Lei nº 280, de 30 de março de 2004</w:t>
      </w:r>
      <w:r w:rsidR="009E1259" w:rsidRPr="009E1259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6A38D2FC" w14:textId="1F5DE4CD" w:rsidR="009E1259" w:rsidRDefault="009E1259" w:rsidP="00A75BA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</w:rPr>
        <w:t>Art. 29. Revoga-se a lei nº 907, de 15 de março de 2023.</w:t>
      </w:r>
    </w:p>
    <w:p w14:paraId="267BD758" w14:textId="4CBB79D8" w:rsidR="009E1259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9E1259">
        <w:rPr>
          <w:rFonts w:ascii="Palatino Linotype" w:hAnsi="Palatino Linotype"/>
          <w:sz w:val="24"/>
          <w:szCs w:val="24"/>
        </w:rPr>
        <w:t xml:space="preserve">Art. </w:t>
      </w:r>
      <w:r w:rsidR="009E1259">
        <w:rPr>
          <w:rFonts w:ascii="Palatino Linotype" w:hAnsi="Palatino Linotype"/>
          <w:sz w:val="24"/>
          <w:szCs w:val="24"/>
        </w:rPr>
        <w:t>30</w:t>
      </w:r>
      <w:r w:rsidRPr="009E1259">
        <w:rPr>
          <w:rFonts w:ascii="Palatino Linotype" w:hAnsi="Palatino Linotype"/>
          <w:sz w:val="24"/>
          <w:szCs w:val="24"/>
        </w:rPr>
        <w:t xml:space="preserve">. Esta </w:t>
      </w:r>
      <w:r w:rsidR="009E1259">
        <w:rPr>
          <w:rFonts w:ascii="Palatino Linotype" w:hAnsi="Palatino Linotype"/>
          <w:sz w:val="24"/>
          <w:szCs w:val="24"/>
        </w:rPr>
        <w:t>Lei</w:t>
      </w:r>
      <w:r w:rsidRPr="009E1259">
        <w:rPr>
          <w:rFonts w:ascii="Palatino Linotype" w:hAnsi="Palatino Linotype"/>
          <w:sz w:val="24"/>
          <w:szCs w:val="24"/>
        </w:rPr>
        <w:t xml:space="preserve"> entra em vigor na data de sua publicação</w:t>
      </w:r>
      <w:r w:rsidR="00784878">
        <w:rPr>
          <w:rFonts w:ascii="Palatino Linotype" w:hAnsi="Palatino Linotype"/>
          <w:sz w:val="24"/>
          <w:szCs w:val="24"/>
        </w:rPr>
        <w:t>.</w:t>
      </w:r>
    </w:p>
    <w:p w14:paraId="4F3E37B9" w14:textId="77777777" w:rsidR="00784878" w:rsidRPr="00A75BAE" w:rsidRDefault="00784878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CF37858" w14:textId="77777777" w:rsidR="00A75BAE" w:rsidRPr="00A75BAE" w:rsidRDefault="00A75BAE" w:rsidP="009E1259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Sala das Sessões da Câmara Municipal de São José do Povo</w:t>
      </w:r>
    </w:p>
    <w:p w14:paraId="335C9752" w14:textId="3F8656C7" w:rsidR="00A75BAE" w:rsidRPr="00A75BAE" w:rsidRDefault="009E1259" w:rsidP="009E1259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24</w:t>
      </w:r>
      <w:r w:rsidR="00A75BAE" w:rsidRPr="00A75BAE">
        <w:rPr>
          <w:rFonts w:ascii="Palatino Linotype" w:hAnsi="Palatino Linotype"/>
          <w:sz w:val="24"/>
          <w:szCs w:val="24"/>
        </w:rPr>
        <w:t xml:space="preserve"> de janeiro de 2025</w:t>
      </w:r>
    </w:p>
    <w:p w14:paraId="0225E5FB" w14:textId="0AE19D2F" w:rsid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7502624" w14:textId="77777777" w:rsidR="009E1259" w:rsidRPr="00A75BAE" w:rsidRDefault="009E1259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D790109" w14:textId="77777777" w:rsidR="00A75BAE" w:rsidRPr="00A75BAE" w:rsidRDefault="00A75BAE" w:rsidP="009E1259">
      <w:pPr>
        <w:spacing w:line="240" w:lineRule="auto"/>
        <w:contextualSpacing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__________________________________</w:t>
      </w:r>
    </w:p>
    <w:p w14:paraId="6629792E" w14:textId="77777777" w:rsidR="00A75BAE" w:rsidRPr="009E1259" w:rsidRDefault="00A75BAE" w:rsidP="009E1259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9E1259">
        <w:rPr>
          <w:rFonts w:ascii="Palatino Linotype" w:hAnsi="Palatino Linotype"/>
          <w:b/>
          <w:bCs/>
          <w:sz w:val="24"/>
          <w:szCs w:val="24"/>
        </w:rPr>
        <w:t>Nilson Tavares Cerqueira</w:t>
      </w:r>
    </w:p>
    <w:p w14:paraId="736F0E19" w14:textId="4D0014A4" w:rsidR="00A75BAE" w:rsidRPr="00A75BAE" w:rsidRDefault="00A75BAE" w:rsidP="00C638BF">
      <w:pPr>
        <w:spacing w:line="240" w:lineRule="auto"/>
        <w:contextualSpacing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Presidente</w:t>
      </w:r>
    </w:p>
    <w:p w14:paraId="067CCACC" w14:textId="04946C01" w:rsidR="00A75BAE" w:rsidRPr="00C638BF" w:rsidRDefault="00C638BF" w:rsidP="00C638BF">
      <w:pPr>
        <w:spacing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638BF">
        <w:rPr>
          <w:rFonts w:ascii="Palatino Linotype" w:hAnsi="Palatino Linotype"/>
          <w:b/>
          <w:bCs/>
          <w:sz w:val="24"/>
          <w:szCs w:val="24"/>
        </w:rPr>
        <w:lastRenderedPageBreak/>
        <w:t>JUSTIFICATIVA</w:t>
      </w:r>
    </w:p>
    <w:p w14:paraId="7C7CB55E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30E55F2" w14:textId="0122D813" w:rsidR="00C638BF" w:rsidRPr="00C638BF" w:rsidRDefault="00C638BF" w:rsidP="00C638BF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C638BF">
        <w:rPr>
          <w:rFonts w:ascii="Palatino Linotype" w:hAnsi="Palatino Linotype"/>
        </w:rPr>
        <w:t xml:space="preserve">O </w:t>
      </w:r>
      <w:r w:rsidRPr="00C638BF">
        <w:rPr>
          <w:rStyle w:val="Forte"/>
          <w:rFonts w:ascii="Palatino Linotype" w:hAnsi="Palatino Linotype"/>
          <w:b w:val="0"/>
          <w:bCs w:val="0"/>
        </w:rPr>
        <w:t>presente projeto de lei</w:t>
      </w:r>
      <w:r w:rsidRPr="00C638BF">
        <w:rPr>
          <w:rFonts w:ascii="Palatino Linotype" w:hAnsi="Palatino Linotype"/>
        </w:rPr>
        <w:t>, que estabelece normas e procedimentos para a concessão e aplicação de suprimento de fundos no âmbito da Câmara Municipal de São José do Povo, busca regulamentar de maneira clara, transparente e eficiente a utilização desses recursos.</w:t>
      </w:r>
    </w:p>
    <w:p w14:paraId="5803DE28" w14:textId="77777777" w:rsidR="00C638BF" w:rsidRPr="00C638BF" w:rsidRDefault="00C638BF" w:rsidP="00C638BF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C638BF">
        <w:rPr>
          <w:rFonts w:ascii="Palatino Linotype" w:hAnsi="Palatino Linotype"/>
        </w:rPr>
        <w:t>O suprimento de fundos é uma ferramenta essencial para a administração pública, especialmente para atender despesas que exigem rapidez e flexibilidade, como situações emergenciais ou de pequeno porte, cuja tramitação ordinária seria incompatível com a urgência necessária. Dessa forma, o projeto disciplina o processo de solicitação, concessão, aplicação e prestação de contas, assegurando o uso responsável e correto dos recursos públicos.</w:t>
      </w:r>
    </w:p>
    <w:p w14:paraId="276E9C0C" w14:textId="6F7BE6EB" w:rsidR="00C638BF" w:rsidRPr="00C638BF" w:rsidRDefault="00C638BF" w:rsidP="00C638BF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C638BF">
        <w:rPr>
          <w:rFonts w:ascii="Palatino Linotype" w:hAnsi="Palatino Linotype"/>
        </w:rPr>
        <w:t xml:space="preserve">A proposta considera as disposições previstas na </w:t>
      </w:r>
      <w:r w:rsidRPr="00C638BF">
        <w:rPr>
          <w:rStyle w:val="Forte"/>
          <w:rFonts w:ascii="Palatino Linotype" w:hAnsi="Palatino Linotype"/>
        </w:rPr>
        <w:t>Lei Federal nº 14.133/2021</w:t>
      </w:r>
      <w:r w:rsidRPr="00C638BF">
        <w:rPr>
          <w:rFonts w:ascii="Palatino Linotype" w:hAnsi="Palatino Linotype"/>
        </w:rPr>
        <w:t xml:space="preserve">, atualizando os limites e procedimentos de acordo com as normas </w:t>
      </w:r>
      <w:r>
        <w:rPr>
          <w:rFonts w:ascii="Palatino Linotype" w:hAnsi="Palatino Linotype"/>
        </w:rPr>
        <w:t>em vigor</w:t>
      </w:r>
      <w:r w:rsidRPr="00C638BF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E</w:t>
      </w:r>
      <w:r w:rsidRPr="00C638BF">
        <w:rPr>
          <w:rFonts w:ascii="Palatino Linotype" w:hAnsi="Palatino Linotype"/>
        </w:rPr>
        <w:t>stabelece limites claros para a utilização do suprimento, proibindo o uso para finalidades que possam comprometer a legalidade e a economicidade da aplicação dos recursos.</w:t>
      </w:r>
    </w:p>
    <w:p w14:paraId="596537F9" w14:textId="77777777" w:rsidR="00C638BF" w:rsidRPr="00C638BF" w:rsidRDefault="00C638BF" w:rsidP="00C638BF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C638BF">
        <w:rPr>
          <w:rFonts w:ascii="Palatino Linotype" w:hAnsi="Palatino Linotype"/>
        </w:rPr>
        <w:t>Outro aspecto relevante é a inclusão de mecanismos que asseguram a prestação de contas rigorosa e a fiscalização eficaz, com o objetivo de prevenir irregularidades e garantir a transparência no uso dos valores concedidos. O projeto também determina sanções em caso de descumprimento das normas, reforçando o compromisso com a boa gestão pública.</w:t>
      </w:r>
    </w:p>
    <w:p w14:paraId="1B212D77" w14:textId="77777777" w:rsidR="00C638BF" w:rsidRPr="00C638BF" w:rsidRDefault="00C638BF" w:rsidP="00C638BF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C638BF">
        <w:rPr>
          <w:rFonts w:ascii="Palatino Linotype" w:hAnsi="Palatino Linotype"/>
        </w:rPr>
        <w:t xml:space="preserve">Por fim, a aprovação deste projeto contribui para a modernização e aprimoramento da gestão administrativa no âmbito do Poder Legislativo, </w:t>
      </w:r>
      <w:r w:rsidRPr="00C638BF">
        <w:rPr>
          <w:rFonts w:ascii="Palatino Linotype" w:hAnsi="Palatino Linotype"/>
        </w:rPr>
        <w:lastRenderedPageBreak/>
        <w:t>alinhando-se às boas práticas e atendendo aos princípios constitucionais da eficiência, legalidade e transparência.</w:t>
      </w:r>
    </w:p>
    <w:p w14:paraId="62D9F82F" w14:textId="4EBEDDE3" w:rsidR="00C638BF" w:rsidRDefault="00C638BF" w:rsidP="00C638BF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C638BF">
        <w:rPr>
          <w:rFonts w:ascii="Palatino Linotype" w:hAnsi="Palatino Linotype"/>
        </w:rPr>
        <w:t>Diante do exposto, subme</w:t>
      </w:r>
      <w:r>
        <w:rPr>
          <w:rFonts w:ascii="Palatino Linotype" w:hAnsi="Palatino Linotype"/>
        </w:rPr>
        <w:t>to esta matéria a apreciação dos nobres colegas</w:t>
      </w:r>
      <w:r w:rsidRPr="00C638BF">
        <w:rPr>
          <w:rFonts w:ascii="Palatino Linotype" w:hAnsi="Palatino Linotype"/>
        </w:rPr>
        <w:t>, solicitando o apoio necessário para sua aprovação.</w:t>
      </w:r>
    </w:p>
    <w:p w14:paraId="29C7476B" w14:textId="77777777" w:rsidR="00C638BF" w:rsidRDefault="00C638BF" w:rsidP="00C638BF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</w:p>
    <w:p w14:paraId="6EBD68E6" w14:textId="77777777" w:rsidR="00C638BF" w:rsidRPr="00A75BAE" w:rsidRDefault="00C638BF" w:rsidP="00C638BF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Sala das Sessões da Câmara Municipal de São José do Povo</w:t>
      </w:r>
    </w:p>
    <w:p w14:paraId="736E290D" w14:textId="77777777" w:rsidR="00C638BF" w:rsidRPr="00A75BAE" w:rsidRDefault="00C638BF" w:rsidP="00C638BF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24</w:t>
      </w:r>
      <w:r w:rsidRPr="00A75BAE">
        <w:rPr>
          <w:rFonts w:ascii="Palatino Linotype" w:hAnsi="Palatino Linotype"/>
          <w:sz w:val="24"/>
          <w:szCs w:val="24"/>
        </w:rPr>
        <w:t xml:space="preserve"> de janeiro de 2025</w:t>
      </w:r>
    </w:p>
    <w:p w14:paraId="6429CE55" w14:textId="77777777" w:rsidR="00C638BF" w:rsidRDefault="00C638BF" w:rsidP="00C638BF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2DD8166" w14:textId="77777777" w:rsidR="00C638BF" w:rsidRPr="00A75BAE" w:rsidRDefault="00C638BF" w:rsidP="00C638BF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6B9FCD2" w14:textId="77777777" w:rsidR="00C638BF" w:rsidRPr="00A75BAE" w:rsidRDefault="00C638BF" w:rsidP="00C638BF">
      <w:pPr>
        <w:spacing w:line="240" w:lineRule="auto"/>
        <w:contextualSpacing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__________________________________</w:t>
      </w:r>
    </w:p>
    <w:p w14:paraId="5824EB2A" w14:textId="77777777" w:rsidR="00C638BF" w:rsidRPr="009E1259" w:rsidRDefault="00C638BF" w:rsidP="00C638BF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9E1259">
        <w:rPr>
          <w:rFonts w:ascii="Palatino Linotype" w:hAnsi="Palatino Linotype"/>
          <w:b/>
          <w:bCs/>
          <w:sz w:val="24"/>
          <w:szCs w:val="24"/>
        </w:rPr>
        <w:t>Nilson Tavares Cerqueira</w:t>
      </w:r>
    </w:p>
    <w:p w14:paraId="1B5E933C" w14:textId="77777777" w:rsidR="00C638BF" w:rsidRPr="00A75BAE" w:rsidRDefault="00C638BF" w:rsidP="00C638BF">
      <w:pPr>
        <w:spacing w:line="240" w:lineRule="auto"/>
        <w:contextualSpacing/>
        <w:jc w:val="center"/>
        <w:rPr>
          <w:rFonts w:ascii="Palatino Linotype" w:hAnsi="Palatino Linotype"/>
          <w:sz w:val="24"/>
          <w:szCs w:val="24"/>
        </w:rPr>
      </w:pPr>
      <w:r w:rsidRPr="00A75BAE">
        <w:rPr>
          <w:rFonts w:ascii="Palatino Linotype" w:hAnsi="Palatino Linotype"/>
          <w:sz w:val="24"/>
          <w:szCs w:val="24"/>
        </w:rPr>
        <w:t>Presidente</w:t>
      </w:r>
    </w:p>
    <w:p w14:paraId="4AC12536" w14:textId="77777777" w:rsidR="00C638BF" w:rsidRPr="00C638BF" w:rsidRDefault="00C638BF" w:rsidP="00C638BF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</w:p>
    <w:p w14:paraId="5746DF5E" w14:textId="77777777" w:rsidR="00A75BAE" w:rsidRPr="00C638BF" w:rsidRDefault="00A75BAE" w:rsidP="00C638BF">
      <w:pPr>
        <w:spacing w:line="360" w:lineRule="auto"/>
        <w:ind w:firstLine="709"/>
        <w:jc w:val="both"/>
        <w:rPr>
          <w:rFonts w:ascii="Palatino Linotype" w:hAnsi="Palatino Linotype"/>
          <w:sz w:val="24"/>
          <w:szCs w:val="24"/>
        </w:rPr>
      </w:pPr>
    </w:p>
    <w:p w14:paraId="54F3FBAE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F0B1695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76E19D6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5E1FA10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943110E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CF2065F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BEB64DF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0898A3E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7892E16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4B9D95C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8D47052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8E5C1B8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1459812" w14:textId="77777777" w:rsidR="00A75BAE" w:rsidRPr="00A75BAE" w:rsidRDefault="00A75BAE" w:rsidP="00A75BAE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sectPr w:rsidR="00A75BAE" w:rsidRPr="00A75BAE" w:rsidSect="002E0098">
      <w:headerReference w:type="default" r:id="rId7"/>
      <w:footerReference w:type="default" r:id="rId8"/>
      <w:pgSz w:w="11906" w:h="16838"/>
      <w:pgMar w:top="1417" w:right="1701" w:bottom="1417" w:left="170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F154" w14:textId="77777777" w:rsidR="00E6252D" w:rsidRDefault="00E6252D" w:rsidP="002E0098">
      <w:pPr>
        <w:spacing w:after="0" w:line="240" w:lineRule="auto"/>
      </w:pPr>
      <w:r>
        <w:separator/>
      </w:r>
    </w:p>
  </w:endnote>
  <w:endnote w:type="continuationSeparator" w:id="0">
    <w:p w14:paraId="3ECCE086" w14:textId="77777777" w:rsidR="00E6252D" w:rsidRDefault="00E6252D" w:rsidP="002E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CF55" w14:textId="30EE8131" w:rsidR="002E0098" w:rsidRPr="00645868" w:rsidRDefault="002E0098" w:rsidP="002E0098">
    <w:pPr>
      <w:ind w:left="-720"/>
      <w:contextualSpacing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6861C179" w14:textId="77777777" w:rsidR="002E0098" w:rsidRPr="00521F06" w:rsidRDefault="002E0098" w:rsidP="002E0098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  <w:p w14:paraId="09FC6EC9" w14:textId="77777777" w:rsidR="002E0098" w:rsidRDefault="002E00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8A72" w14:textId="77777777" w:rsidR="00E6252D" w:rsidRDefault="00E6252D" w:rsidP="002E0098">
      <w:pPr>
        <w:spacing w:after="0" w:line="240" w:lineRule="auto"/>
      </w:pPr>
      <w:r>
        <w:separator/>
      </w:r>
    </w:p>
  </w:footnote>
  <w:footnote w:type="continuationSeparator" w:id="0">
    <w:p w14:paraId="75D59F63" w14:textId="77777777" w:rsidR="00E6252D" w:rsidRDefault="00E6252D" w:rsidP="002E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4F0F" w14:textId="48DEF085" w:rsidR="002E0098" w:rsidRDefault="002E0098" w:rsidP="002E0098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C5B91A0" wp14:editId="4FEE84DC">
          <wp:extent cx="9810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1A15B" w14:textId="77777777" w:rsidR="002E0098" w:rsidRPr="009E262D" w:rsidRDefault="002E0098" w:rsidP="002E0098">
    <w:pPr>
      <w:contextualSpacing/>
      <w:jc w:val="center"/>
    </w:pPr>
    <w:r w:rsidRPr="009E262D">
      <w:rPr>
        <w:b/>
      </w:rPr>
      <w:t>ESTADO DE MATO GROSSO</w:t>
    </w:r>
  </w:p>
  <w:p w14:paraId="5A7E397D" w14:textId="64411E68" w:rsidR="002E0098" w:rsidRPr="002E0098" w:rsidRDefault="002E0098" w:rsidP="002E0098">
    <w:pPr>
      <w:contextualSpacing/>
      <w:jc w:val="center"/>
      <w:rPr>
        <w:b/>
      </w:rPr>
    </w:pPr>
    <w:r w:rsidRPr="009E262D">
      <w:rPr>
        <w:b/>
      </w:rPr>
      <w:t>CÂMARA MUNICIPAL DE SÃO JOSÉ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90D7D"/>
    <w:multiLevelType w:val="hybridMultilevel"/>
    <w:tmpl w:val="4FE6A44A"/>
    <w:lvl w:ilvl="0" w:tplc="3D2C4B48">
      <w:start w:val="1"/>
      <w:numFmt w:val="upperRoman"/>
      <w:lvlText w:val="%1"/>
      <w:lvlJc w:val="left"/>
      <w:pPr>
        <w:ind w:left="82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92C44E">
      <w:numFmt w:val="bullet"/>
      <w:lvlText w:val="•"/>
      <w:lvlJc w:val="left"/>
      <w:pPr>
        <w:ind w:left="1744" w:hanging="154"/>
      </w:pPr>
      <w:rPr>
        <w:rFonts w:hint="default"/>
        <w:lang w:val="pt-PT" w:eastAsia="en-US" w:bidi="ar-SA"/>
      </w:rPr>
    </w:lvl>
    <w:lvl w:ilvl="2" w:tplc="64B2727A">
      <w:numFmt w:val="bullet"/>
      <w:lvlText w:val="•"/>
      <w:lvlJc w:val="left"/>
      <w:pPr>
        <w:ind w:left="2668" w:hanging="154"/>
      </w:pPr>
      <w:rPr>
        <w:rFonts w:hint="default"/>
        <w:lang w:val="pt-PT" w:eastAsia="en-US" w:bidi="ar-SA"/>
      </w:rPr>
    </w:lvl>
    <w:lvl w:ilvl="3" w:tplc="4CDA95F4">
      <w:numFmt w:val="bullet"/>
      <w:lvlText w:val="•"/>
      <w:lvlJc w:val="left"/>
      <w:pPr>
        <w:ind w:left="3593" w:hanging="154"/>
      </w:pPr>
      <w:rPr>
        <w:rFonts w:hint="default"/>
        <w:lang w:val="pt-PT" w:eastAsia="en-US" w:bidi="ar-SA"/>
      </w:rPr>
    </w:lvl>
    <w:lvl w:ilvl="4" w:tplc="224E6AF4">
      <w:numFmt w:val="bullet"/>
      <w:lvlText w:val="•"/>
      <w:lvlJc w:val="left"/>
      <w:pPr>
        <w:ind w:left="4517" w:hanging="154"/>
      </w:pPr>
      <w:rPr>
        <w:rFonts w:hint="default"/>
        <w:lang w:val="pt-PT" w:eastAsia="en-US" w:bidi="ar-SA"/>
      </w:rPr>
    </w:lvl>
    <w:lvl w:ilvl="5" w:tplc="80048950">
      <w:numFmt w:val="bullet"/>
      <w:lvlText w:val="•"/>
      <w:lvlJc w:val="left"/>
      <w:pPr>
        <w:ind w:left="5442" w:hanging="154"/>
      </w:pPr>
      <w:rPr>
        <w:rFonts w:hint="default"/>
        <w:lang w:val="pt-PT" w:eastAsia="en-US" w:bidi="ar-SA"/>
      </w:rPr>
    </w:lvl>
    <w:lvl w:ilvl="6" w:tplc="335CD310">
      <w:numFmt w:val="bullet"/>
      <w:lvlText w:val="•"/>
      <w:lvlJc w:val="left"/>
      <w:pPr>
        <w:ind w:left="6366" w:hanging="154"/>
      </w:pPr>
      <w:rPr>
        <w:rFonts w:hint="default"/>
        <w:lang w:val="pt-PT" w:eastAsia="en-US" w:bidi="ar-SA"/>
      </w:rPr>
    </w:lvl>
    <w:lvl w:ilvl="7" w:tplc="C174FD5C">
      <w:numFmt w:val="bullet"/>
      <w:lvlText w:val="•"/>
      <w:lvlJc w:val="left"/>
      <w:pPr>
        <w:ind w:left="7291" w:hanging="154"/>
      </w:pPr>
      <w:rPr>
        <w:rFonts w:hint="default"/>
        <w:lang w:val="pt-PT" w:eastAsia="en-US" w:bidi="ar-SA"/>
      </w:rPr>
    </w:lvl>
    <w:lvl w:ilvl="8" w:tplc="5568F9A4">
      <w:numFmt w:val="bullet"/>
      <w:lvlText w:val="•"/>
      <w:lvlJc w:val="left"/>
      <w:pPr>
        <w:ind w:left="8215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3975741B"/>
    <w:multiLevelType w:val="hybridMultilevel"/>
    <w:tmpl w:val="F34C3BD4"/>
    <w:lvl w:ilvl="0" w:tplc="AAAAEEB8">
      <w:start w:val="4"/>
      <w:numFmt w:val="upperRoman"/>
      <w:lvlText w:val="%1"/>
      <w:lvlJc w:val="left"/>
      <w:pPr>
        <w:ind w:left="938" w:hanging="272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F3837B6">
      <w:numFmt w:val="bullet"/>
      <w:lvlText w:val="•"/>
      <w:lvlJc w:val="left"/>
      <w:pPr>
        <w:ind w:left="1852" w:hanging="272"/>
      </w:pPr>
      <w:rPr>
        <w:rFonts w:hint="default"/>
        <w:lang w:val="pt-PT" w:eastAsia="en-US" w:bidi="ar-SA"/>
      </w:rPr>
    </w:lvl>
    <w:lvl w:ilvl="2" w:tplc="8BB62E20">
      <w:numFmt w:val="bullet"/>
      <w:lvlText w:val="•"/>
      <w:lvlJc w:val="left"/>
      <w:pPr>
        <w:ind w:left="2764" w:hanging="272"/>
      </w:pPr>
      <w:rPr>
        <w:rFonts w:hint="default"/>
        <w:lang w:val="pt-PT" w:eastAsia="en-US" w:bidi="ar-SA"/>
      </w:rPr>
    </w:lvl>
    <w:lvl w:ilvl="3" w:tplc="CF441FE2">
      <w:numFmt w:val="bullet"/>
      <w:lvlText w:val="•"/>
      <w:lvlJc w:val="left"/>
      <w:pPr>
        <w:ind w:left="3677" w:hanging="272"/>
      </w:pPr>
      <w:rPr>
        <w:rFonts w:hint="default"/>
        <w:lang w:val="pt-PT" w:eastAsia="en-US" w:bidi="ar-SA"/>
      </w:rPr>
    </w:lvl>
    <w:lvl w:ilvl="4" w:tplc="A7947088">
      <w:numFmt w:val="bullet"/>
      <w:lvlText w:val="•"/>
      <w:lvlJc w:val="left"/>
      <w:pPr>
        <w:ind w:left="4589" w:hanging="272"/>
      </w:pPr>
      <w:rPr>
        <w:rFonts w:hint="default"/>
        <w:lang w:val="pt-PT" w:eastAsia="en-US" w:bidi="ar-SA"/>
      </w:rPr>
    </w:lvl>
    <w:lvl w:ilvl="5" w:tplc="944CA7F6">
      <w:numFmt w:val="bullet"/>
      <w:lvlText w:val="•"/>
      <w:lvlJc w:val="left"/>
      <w:pPr>
        <w:ind w:left="5502" w:hanging="272"/>
      </w:pPr>
      <w:rPr>
        <w:rFonts w:hint="default"/>
        <w:lang w:val="pt-PT" w:eastAsia="en-US" w:bidi="ar-SA"/>
      </w:rPr>
    </w:lvl>
    <w:lvl w:ilvl="6" w:tplc="32460F44">
      <w:numFmt w:val="bullet"/>
      <w:lvlText w:val="•"/>
      <w:lvlJc w:val="left"/>
      <w:pPr>
        <w:ind w:left="6414" w:hanging="272"/>
      </w:pPr>
      <w:rPr>
        <w:rFonts w:hint="default"/>
        <w:lang w:val="pt-PT" w:eastAsia="en-US" w:bidi="ar-SA"/>
      </w:rPr>
    </w:lvl>
    <w:lvl w:ilvl="7" w:tplc="E868A1A8">
      <w:numFmt w:val="bullet"/>
      <w:lvlText w:val="•"/>
      <w:lvlJc w:val="left"/>
      <w:pPr>
        <w:ind w:left="7327" w:hanging="272"/>
      </w:pPr>
      <w:rPr>
        <w:rFonts w:hint="default"/>
        <w:lang w:val="pt-PT" w:eastAsia="en-US" w:bidi="ar-SA"/>
      </w:rPr>
    </w:lvl>
    <w:lvl w:ilvl="8" w:tplc="4C8E42E4">
      <w:numFmt w:val="bullet"/>
      <w:lvlText w:val="•"/>
      <w:lvlJc w:val="left"/>
      <w:pPr>
        <w:ind w:left="8239" w:hanging="272"/>
      </w:pPr>
      <w:rPr>
        <w:rFonts w:hint="default"/>
        <w:lang w:val="pt-PT" w:eastAsia="en-US" w:bidi="ar-SA"/>
      </w:rPr>
    </w:lvl>
  </w:abstractNum>
  <w:abstractNum w:abstractNumId="2" w15:restartNumberingAfterBreak="0">
    <w:nsid w:val="45341F34"/>
    <w:multiLevelType w:val="hybridMultilevel"/>
    <w:tmpl w:val="99B66A76"/>
    <w:lvl w:ilvl="0" w:tplc="87E831AE">
      <w:start w:val="1"/>
      <w:numFmt w:val="upperRoman"/>
      <w:lvlText w:val="%1"/>
      <w:lvlJc w:val="left"/>
      <w:pPr>
        <w:ind w:left="671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25488E9C">
      <w:numFmt w:val="bullet"/>
      <w:lvlText w:val="•"/>
      <w:lvlJc w:val="left"/>
      <w:pPr>
        <w:ind w:left="1618" w:hanging="183"/>
      </w:pPr>
      <w:rPr>
        <w:rFonts w:hint="default"/>
        <w:lang w:val="pt-PT" w:eastAsia="en-US" w:bidi="ar-SA"/>
      </w:rPr>
    </w:lvl>
    <w:lvl w:ilvl="2" w:tplc="7EE49640">
      <w:numFmt w:val="bullet"/>
      <w:lvlText w:val="•"/>
      <w:lvlJc w:val="left"/>
      <w:pPr>
        <w:ind w:left="2556" w:hanging="183"/>
      </w:pPr>
      <w:rPr>
        <w:rFonts w:hint="default"/>
        <w:lang w:val="pt-PT" w:eastAsia="en-US" w:bidi="ar-SA"/>
      </w:rPr>
    </w:lvl>
    <w:lvl w:ilvl="3" w:tplc="9BA80672">
      <w:numFmt w:val="bullet"/>
      <w:lvlText w:val="•"/>
      <w:lvlJc w:val="left"/>
      <w:pPr>
        <w:ind w:left="3495" w:hanging="183"/>
      </w:pPr>
      <w:rPr>
        <w:rFonts w:hint="default"/>
        <w:lang w:val="pt-PT" w:eastAsia="en-US" w:bidi="ar-SA"/>
      </w:rPr>
    </w:lvl>
    <w:lvl w:ilvl="4" w:tplc="B9987D7E">
      <w:numFmt w:val="bullet"/>
      <w:lvlText w:val="•"/>
      <w:lvlJc w:val="left"/>
      <w:pPr>
        <w:ind w:left="4433" w:hanging="183"/>
      </w:pPr>
      <w:rPr>
        <w:rFonts w:hint="default"/>
        <w:lang w:val="pt-PT" w:eastAsia="en-US" w:bidi="ar-SA"/>
      </w:rPr>
    </w:lvl>
    <w:lvl w:ilvl="5" w:tplc="B5483416">
      <w:numFmt w:val="bullet"/>
      <w:lvlText w:val="•"/>
      <w:lvlJc w:val="left"/>
      <w:pPr>
        <w:ind w:left="5372" w:hanging="183"/>
      </w:pPr>
      <w:rPr>
        <w:rFonts w:hint="default"/>
        <w:lang w:val="pt-PT" w:eastAsia="en-US" w:bidi="ar-SA"/>
      </w:rPr>
    </w:lvl>
    <w:lvl w:ilvl="6" w:tplc="A3B4AD46">
      <w:numFmt w:val="bullet"/>
      <w:lvlText w:val="•"/>
      <w:lvlJc w:val="left"/>
      <w:pPr>
        <w:ind w:left="6310" w:hanging="183"/>
      </w:pPr>
      <w:rPr>
        <w:rFonts w:hint="default"/>
        <w:lang w:val="pt-PT" w:eastAsia="en-US" w:bidi="ar-SA"/>
      </w:rPr>
    </w:lvl>
    <w:lvl w:ilvl="7" w:tplc="F1E6CF78">
      <w:numFmt w:val="bullet"/>
      <w:lvlText w:val="•"/>
      <w:lvlJc w:val="left"/>
      <w:pPr>
        <w:ind w:left="7249" w:hanging="183"/>
      </w:pPr>
      <w:rPr>
        <w:rFonts w:hint="default"/>
        <w:lang w:val="pt-PT" w:eastAsia="en-US" w:bidi="ar-SA"/>
      </w:rPr>
    </w:lvl>
    <w:lvl w:ilvl="8" w:tplc="E918FA1E">
      <w:numFmt w:val="bullet"/>
      <w:lvlText w:val="•"/>
      <w:lvlJc w:val="left"/>
      <w:pPr>
        <w:ind w:left="8187" w:hanging="183"/>
      </w:pPr>
      <w:rPr>
        <w:rFonts w:hint="default"/>
        <w:lang w:val="pt-PT" w:eastAsia="en-US" w:bidi="ar-SA"/>
      </w:rPr>
    </w:lvl>
  </w:abstractNum>
  <w:abstractNum w:abstractNumId="3" w15:restartNumberingAfterBreak="0">
    <w:nsid w:val="4D075700"/>
    <w:multiLevelType w:val="hybridMultilevel"/>
    <w:tmpl w:val="D56AE94C"/>
    <w:lvl w:ilvl="0" w:tplc="BFDAB7A6">
      <w:start w:val="1"/>
      <w:numFmt w:val="upperRoman"/>
      <w:lvlText w:val="%1"/>
      <w:lvlJc w:val="left"/>
      <w:pPr>
        <w:ind w:left="813" w:hanging="147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 w:tplc="E326E18E">
      <w:start w:val="1"/>
      <w:numFmt w:val="lowerLetter"/>
      <w:lvlText w:val="%2)"/>
      <w:lvlJc w:val="left"/>
      <w:pPr>
        <w:ind w:left="669" w:hanging="32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AAAC2058">
      <w:numFmt w:val="bullet"/>
      <w:lvlText w:val="•"/>
      <w:lvlJc w:val="left"/>
      <w:pPr>
        <w:ind w:left="1847" w:hanging="320"/>
      </w:pPr>
      <w:rPr>
        <w:rFonts w:hint="default"/>
        <w:lang w:val="pt-PT" w:eastAsia="en-US" w:bidi="ar-SA"/>
      </w:rPr>
    </w:lvl>
    <w:lvl w:ilvl="3" w:tplc="2C366684">
      <w:numFmt w:val="bullet"/>
      <w:lvlText w:val="•"/>
      <w:lvlJc w:val="left"/>
      <w:pPr>
        <w:ind w:left="2874" w:hanging="320"/>
      </w:pPr>
      <w:rPr>
        <w:rFonts w:hint="default"/>
        <w:lang w:val="pt-PT" w:eastAsia="en-US" w:bidi="ar-SA"/>
      </w:rPr>
    </w:lvl>
    <w:lvl w:ilvl="4" w:tplc="6E508022">
      <w:numFmt w:val="bullet"/>
      <w:lvlText w:val="•"/>
      <w:lvlJc w:val="left"/>
      <w:pPr>
        <w:ind w:left="3901" w:hanging="320"/>
      </w:pPr>
      <w:rPr>
        <w:rFonts w:hint="default"/>
        <w:lang w:val="pt-PT" w:eastAsia="en-US" w:bidi="ar-SA"/>
      </w:rPr>
    </w:lvl>
    <w:lvl w:ilvl="5" w:tplc="299EDE24">
      <w:numFmt w:val="bullet"/>
      <w:lvlText w:val="•"/>
      <w:lvlJc w:val="left"/>
      <w:pPr>
        <w:ind w:left="4928" w:hanging="320"/>
      </w:pPr>
      <w:rPr>
        <w:rFonts w:hint="default"/>
        <w:lang w:val="pt-PT" w:eastAsia="en-US" w:bidi="ar-SA"/>
      </w:rPr>
    </w:lvl>
    <w:lvl w:ilvl="6" w:tplc="BCD0001A">
      <w:numFmt w:val="bullet"/>
      <w:lvlText w:val="•"/>
      <w:lvlJc w:val="left"/>
      <w:pPr>
        <w:ind w:left="5955" w:hanging="320"/>
      </w:pPr>
      <w:rPr>
        <w:rFonts w:hint="default"/>
        <w:lang w:val="pt-PT" w:eastAsia="en-US" w:bidi="ar-SA"/>
      </w:rPr>
    </w:lvl>
    <w:lvl w:ilvl="7" w:tplc="55A87264">
      <w:numFmt w:val="bullet"/>
      <w:lvlText w:val="•"/>
      <w:lvlJc w:val="left"/>
      <w:pPr>
        <w:ind w:left="6982" w:hanging="320"/>
      </w:pPr>
      <w:rPr>
        <w:rFonts w:hint="default"/>
        <w:lang w:val="pt-PT" w:eastAsia="en-US" w:bidi="ar-SA"/>
      </w:rPr>
    </w:lvl>
    <w:lvl w:ilvl="8" w:tplc="FBDCDBAE">
      <w:numFmt w:val="bullet"/>
      <w:lvlText w:val="•"/>
      <w:lvlJc w:val="left"/>
      <w:pPr>
        <w:ind w:left="8010" w:hanging="320"/>
      </w:pPr>
      <w:rPr>
        <w:rFonts w:hint="default"/>
        <w:lang w:val="pt-PT" w:eastAsia="en-US" w:bidi="ar-SA"/>
      </w:rPr>
    </w:lvl>
  </w:abstractNum>
  <w:abstractNum w:abstractNumId="4" w15:restartNumberingAfterBreak="0">
    <w:nsid w:val="5CAB6780"/>
    <w:multiLevelType w:val="hybridMultilevel"/>
    <w:tmpl w:val="B7F23058"/>
    <w:lvl w:ilvl="0" w:tplc="EBD023A6">
      <w:start w:val="1"/>
      <w:numFmt w:val="upperRoman"/>
      <w:lvlText w:val="%1"/>
      <w:lvlJc w:val="left"/>
      <w:pPr>
        <w:ind w:left="82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3ECFA2">
      <w:numFmt w:val="bullet"/>
      <w:lvlText w:val="•"/>
      <w:lvlJc w:val="left"/>
      <w:pPr>
        <w:ind w:left="1744" w:hanging="154"/>
      </w:pPr>
      <w:rPr>
        <w:rFonts w:hint="default"/>
        <w:lang w:val="pt-PT" w:eastAsia="en-US" w:bidi="ar-SA"/>
      </w:rPr>
    </w:lvl>
    <w:lvl w:ilvl="2" w:tplc="25E660BE">
      <w:numFmt w:val="bullet"/>
      <w:lvlText w:val="•"/>
      <w:lvlJc w:val="left"/>
      <w:pPr>
        <w:ind w:left="2668" w:hanging="154"/>
      </w:pPr>
      <w:rPr>
        <w:rFonts w:hint="default"/>
        <w:lang w:val="pt-PT" w:eastAsia="en-US" w:bidi="ar-SA"/>
      </w:rPr>
    </w:lvl>
    <w:lvl w:ilvl="3" w:tplc="F0EC2AE6">
      <w:numFmt w:val="bullet"/>
      <w:lvlText w:val="•"/>
      <w:lvlJc w:val="left"/>
      <w:pPr>
        <w:ind w:left="3593" w:hanging="154"/>
      </w:pPr>
      <w:rPr>
        <w:rFonts w:hint="default"/>
        <w:lang w:val="pt-PT" w:eastAsia="en-US" w:bidi="ar-SA"/>
      </w:rPr>
    </w:lvl>
    <w:lvl w:ilvl="4" w:tplc="18B4F974">
      <w:numFmt w:val="bullet"/>
      <w:lvlText w:val="•"/>
      <w:lvlJc w:val="left"/>
      <w:pPr>
        <w:ind w:left="4517" w:hanging="154"/>
      </w:pPr>
      <w:rPr>
        <w:rFonts w:hint="default"/>
        <w:lang w:val="pt-PT" w:eastAsia="en-US" w:bidi="ar-SA"/>
      </w:rPr>
    </w:lvl>
    <w:lvl w:ilvl="5" w:tplc="999446F0">
      <w:numFmt w:val="bullet"/>
      <w:lvlText w:val="•"/>
      <w:lvlJc w:val="left"/>
      <w:pPr>
        <w:ind w:left="5442" w:hanging="154"/>
      </w:pPr>
      <w:rPr>
        <w:rFonts w:hint="default"/>
        <w:lang w:val="pt-PT" w:eastAsia="en-US" w:bidi="ar-SA"/>
      </w:rPr>
    </w:lvl>
    <w:lvl w:ilvl="6" w:tplc="C5B65CCC">
      <w:numFmt w:val="bullet"/>
      <w:lvlText w:val="•"/>
      <w:lvlJc w:val="left"/>
      <w:pPr>
        <w:ind w:left="6366" w:hanging="154"/>
      </w:pPr>
      <w:rPr>
        <w:rFonts w:hint="default"/>
        <w:lang w:val="pt-PT" w:eastAsia="en-US" w:bidi="ar-SA"/>
      </w:rPr>
    </w:lvl>
    <w:lvl w:ilvl="7" w:tplc="5DE0C532">
      <w:numFmt w:val="bullet"/>
      <w:lvlText w:val="•"/>
      <w:lvlJc w:val="left"/>
      <w:pPr>
        <w:ind w:left="7291" w:hanging="154"/>
      </w:pPr>
      <w:rPr>
        <w:rFonts w:hint="default"/>
        <w:lang w:val="pt-PT" w:eastAsia="en-US" w:bidi="ar-SA"/>
      </w:rPr>
    </w:lvl>
    <w:lvl w:ilvl="8" w:tplc="AA7012EA">
      <w:numFmt w:val="bullet"/>
      <w:lvlText w:val="•"/>
      <w:lvlJc w:val="left"/>
      <w:pPr>
        <w:ind w:left="8215" w:hanging="154"/>
      </w:pPr>
      <w:rPr>
        <w:rFonts w:hint="default"/>
        <w:lang w:val="pt-PT" w:eastAsia="en-US" w:bidi="ar-SA"/>
      </w:rPr>
    </w:lvl>
  </w:abstractNum>
  <w:abstractNum w:abstractNumId="5" w15:restartNumberingAfterBreak="0">
    <w:nsid w:val="64F43C2D"/>
    <w:multiLevelType w:val="hybridMultilevel"/>
    <w:tmpl w:val="755827D6"/>
    <w:lvl w:ilvl="0" w:tplc="99FE4CFC">
      <w:start w:val="1"/>
      <w:numFmt w:val="upperRoman"/>
      <w:lvlText w:val="%1"/>
      <w:lvlJc w:val="left"/>
      <w:pPr>
        <w:ind w:left="820" w:hanging="1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06F090">
      <w:numFmt w:val="bullet"/>
      <w:lvlText w:val="•"/>
      <w:lvlJc w:val="left"/>
      <w:pPr>
        <w:ind w:left="1744" w:hanging="152"/>
      </w:pPr>
      <w:rPr>
        <w:rFonts w:hint="default"/>
        <w:lang w:val="pt-PT" w:eastAsia="en-US" w:bidi="ar-SA"/>
      </w:rPr>
    </w:lvl>
    <w:lvl w:ilvl="2" w:tplc="52609662">
      <w:numFmt w:val="bullet"/>
      <w:lvlText w:val="•"/>
      <w:lvlJc w:val="left"/>
      <w:pPr>
        <w:ind w:left="2668" w:hanging="152"/>
      </w:pPr>
      <w:rPr>
        <w:rFonts w:hint="default"/>
        <w:lang w:val="pt-PT" w:eastAsia="en-US" w:bidi="ar-SA"/>
      </w:rPr>
    </w:lvl>
    <w:lvl w:ilvl="3" w:tplc="9B5A5340">
      <w:numFmt w:val="bullet"/>
      <w:lvlText w:val="•"/>
      <w:lvlJc w:val="left"/>
      <w:pPr>
        <w:ind w:left="3593" w:hanging="152"/>
      </w:pPr>
      <w:rPr>
        <w:rFonts w:hint="default"/>
        <w:lang w:val="pt-PT" w:eastAsia="en-US" w:bidi="ar-SA"/>
      </w:rPr>
    </w:lvl>
    <w:lvl w:ilvl="4" w:tplc="38B2557A">
      <w:numFmt w:val="bullet"/>
      <w:lvlText w:val="•"/>
      <w:lvlJc w:val="left"/>
      <w:pPr>
        <w:ind w:left="4517" w:hanging="152"/>
      </w:pPr>
      <w:rPr>
        <w:rFonts w:hint="default"/>
        <w:lang w:val="pt-PT" w:eastAsia="en-US" w:bidi="ar-SA"/>
      </w:rPr>
    </w:lvl>
    <w:lvl w:ilvl="5" w:tplc="B61A71EC">
      <w:numFmt w:val="bullet"/>
      <w:lvlText w:val="•"/>
      <w:lvlJc w:val="left"/>
      <w:pPr>
        <w:ind w:left="5442" w:hanging="152"/>
      </w:pPr>
      <w:rPr>
        <w:rFonts w:hint="default"/>
        <w:lang w:val="pt-PT" w:eastAsia="en-US" w:bidi="ar-SA"/>
      </w:rPr>
    </w:lvl>
    <w:lvl w:ilvl="6" w:tplc="04B036E0">
      <w:numFmt w:val="bullet"/>
      <w:lvlText w:val="•"/>
      <w:lvlJc w:val="left"/>
      <w:pPr>
        <w:ind w:left="6366" w:hanging="152"/>
      </w:pPr>
      <w:rPr>
        <w:rFonts w:hint="default"/>
        <w:lang w:val="pt-PT" w:eastAsia="en-US" w:bidi="ar-SA"/>
      </w:rPr>
    </w:lvl>
    <w:lvl w:ilvl="7" w:tplc="7B3080F6">
      <w:numFmt w:val="bullet"/>
      <w:lvlText w:val="•"/>
      <w:lvlJc w:val="left"/>
      <w:pPr>
        <w:ind w:left="7291" w:hanging="152"/>
      </w:pPr>
      <w:rPr>
        <w:rFonts w:hint="default"/>
        <w:lang w:val="pt-PT" w:eastAsia="en-US" w:bidi="ar-SA"/>
      </w:rPr>
    </w:lvl>
    <w:lvl w:ilvl="8" w:tplc="EB20C136">
      <w:numFmt w:val="bullet"/>
      <w:lvlText w:val="•"/>
      <w:lvlJc w:val="left"/>
      <w:pPr>
        <w:ind w:left="8215" w:hanging="152"/>
      </w:pPr>
      <w:rPr>
        <w:rFonts w:hint="default"/>
        <w:lang w:val="pt-PT" w:eastAsia="en-US" w:bidi="ar-SA"/>
      </w:rPr>
    </w:lvl>
  </w:abstractNum>
  <w:abstractNum w:abstractNumId="6" w15:restartNumberingAfterBreak="0">
    <w:nsid w:val="68350272"/>
    <w:multiLevelType w:val="hybridMultilevel"/>
    <w:tmpl w:val="1E142F5C"/>
    <w:lvl w:ilvl="0" w:tplc="629C5D32">
      <w:start w:val="1"/>
      <w:numFmt w:val="upperRoman"/>
      <w:lvlText w:val="%1"/>
      <w:lvlJc w:val="left"/>
      <w:pPr>
        <w:ind w:left="669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 w:tplc="D8360D44">
      <w:numFmt w:val="bullet"/>
      <w:lvlText w:val="•"/>
      <w:lvlJc w:val="left"/>
      <w:pPr>
        <w:ind w:left="1600" w:hanging="180"/>
      </w:pPr>
      <w:rPr>
        <w:rFonts w:hint="default"/>
        <w:lang w:val="pt-PT" w:eastAsia="en-US" w:bidi="ar-SA"/>
      </w:rPr>
    </w:lvl>
    <w:lvl w:ilvl="2" w:tplc="2E8639B8">
      <w:numFmt w:val="bullet"/>
      <w:lvlText w:val="•"/>
      <w:lvlJc w:val="left"/>
      <w:pPr>
        <w:ind w:left="2540" w:hanging="180"/>
      </w:pPr>
      <w:rPr>
        <w:rFonts w:hint="default"/>
        <w:lang w:val="pt-PT" w:eastAsia="en-US" w:bidi="ar-SA"/>
      </w:rPr>
    </w:lvl>
    <w:lvl w:ilvl="3" w:tplc="A8A8C8F6">
      <w:numFmt w:val="bullet"/>
      <w:lvlText w:val="•"/>
      <w:lvlJc w:val="left"/>
      <w:pPr>
        <w:ind w:left="3481" w:hanging="180"/>
      </w:pPr>
      <w:rPr>
        <w:rFonts w:hint="default"/>
        <w:lang w:val="pt-PT" w:eastAsia="en-US" w:bidi="ar-SA"/>
      </w:rPr>
    </w:lvl>
    <w:lvl w:ilvl="4" w:tplc="1A440ACA">
      <w:numFmt w:val="bullet"/>
      <w:lvlText w:val="•"/>
      <w:lvlJc w:val="left"/>
      <w:pPr>
        <w:ind w:left="4421" w:hanging="180"/>
      </w:pPr>
      <w:rPr>
        <w:rFonts w:hint="default"/>
        <w:lang w:val="pt-PT" w:eastAsia="en-US" w:bidi="ar-SA"/>
      </w:rPr>
    </w:lvl>
    <w:lvl w:ilvl="5" w:tplc="57E2D606">
      <w:numFmt w:val="bullet"/>
      <w:lvlText w:val="•"/>
      <w:lvlJc w:val="left"/>
      <w:pPr>
        <w:ind w:left="5362" w:hanging="180"/>
      </w:pPr>
      <w:rPr>
        <w:rFonts w:hint="default"/>
        <w:lang w:val="pt-PT" w:eastAsia="en-US" w:bidi="ar-SA"/>
      </w:rPr>
    </w:lvl>
    <w:lvl w:ilvl="6" w:tplc="346215AA">
      <w:numFmt w:val="bullet"/>
      <w:lvlText w:val="•"/>
      <w:lvlJc w:val="left"/>
      <w:pPr>
        <w:ind w:left="6302" w:hanging="180"/>
      </w:pPr>
      <w:rPr>
        <w:rFonts w:hint="default"/>
        <w:lang w:val="pt-PT" w:eastAsia="en-US" w:bidi="ar-SA"/>
      </w:rPr>
    </w:lvl>
    <w:lvl w:ilvl="7" w:tplc="9D987C02">
      <w:numFmt w:val="bullet"/>
      <w:lvlText w:val="•"/>
      <w:lvlJc w:val="left"/>
      <w:pPr>
        <w:ind w:left="7243" w:hanging="180"/>
      </w:pPr>
      <w:rPr>
        <w:rFonts w:hint="default"/>
        <w:lang w:val="pt-PT" w:eastAsia="en-US" w:bidi="ar-SA"/>
      </w:rPr>
    </w:lvl>
    <w:lvl w:ilvl="8" w:tplc="F77E2868">
      <w:numFmt w:val="bullet"/>
      <w:lvlText w:val="•"/>
      <w:lvlJc w:val="left"/>
      <w:pPr>
        <w:ind w:left="8183" w:hanging="180"/>
      </w:pPr>
      <w:rPr>
        <w:rFonts w:hint="default"/>
        <w:lang w:val="pt-PT" w:eastAsia="en-US" w:bidi="ar-SA"/>
      </w:rPr>
    </w:lvl>
  </w:abstractNum>
  <w:abstractNum w:abstractNumId="7" w15:restartNumberingAfterBreak="0">
    <w:nsid w:val="7BC50C6F"/>
    <w:multiLevelType w:val="hybridMultilevel"/>
    <w:tmpl w:val="727807C2"/>
    <w:lvl w:ilvl="0" w:tplc="0A5CDDFE">
      <w:start w:val="1"/>
      <w:numFmt w:val="upperRoman"/>
      <w:lvlText w:val="%1"/>
      <w:lvlJc w:val="left"/>
      <w:pPr>
        <w:ind w:left="806" w:hanging="137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E1B6BA3C">
      <w:numFmt w:val="bullet"/>
      <w:lvlText w:val="•"/>
      <w:lvlJc w:val="left"/>
      <w:pPr>
        <w:ind w:left="1726" w:hanging="137"/>
      </w:pPr>
      <w:rPr>
        <w:rFonts w:hint="default"/>
        <w:lang w:val="pt-PT" w:eastAsia="en-US" w:bidi="ar-SA"/>
      </w:rPr>
    </w:lvl>
    <w:lvl w:ilvl="2" w:tplc="48065F12">
      <w:numFmt w:val="bullet"/>
      <w:lvlText w:val="•"/>
      <w:lvlJc w:val="left"/>
      <w:pPr>
        <w:ind w:left="2652" w:hanging="137"/>
      </w:pPr>
      <w:rPr>
        <w:rFonts w:hint="default"/>
        <w:lang w:val="pt-PT" w:eastAsia="en-US" w:bidi="ar-SA"/>
      </w:rPr>
    </w:lvl>
    <w:lvl w:ilvl="3" w:tplc="BEA8C3D6">
      <w:numFmt w:val="bullet"/>
      <w:lvlText w:val="•"/>
      <w:lvlJc w:val="left"/>
      <w:pPr>
        <w:ind w:left="3579" w:hanging="137"/>
      </w:pPr>
      <w:rPr>
        <w:rFonts w:hint="default"/>
        <w:lang w:val="pt-PT" w:eastAsia="en-US" w:bidi="ar-SA"/>
      </w:rPr>
    </w:lvl>
    <w:lvl w:ilvl="4" w:tplc="76C4E2DE">
      <w:numFmt w:val="bullet"/>
      <w:lvlText w:val="•"/>
      <w:lvlJc w:val="left"/>
      <w:pPr>
        <w:ind w:left="4505" w:hanging="137"/>
      </w:pPr>
      <w:rPr>
        <w:rFonts w:hint="default"/>
        <w:lang w:val="pt-PT" w:eastAsia="en-US" w:bidi="ar-SA"/>
      </w:rPr>
    </w:lvl>
    <w:lvl w:ilvl="5" w:tplc="07F8F936">
      <w:numFmt w:val="bullet"/>
      <w:lvlText w:val="•"/>
      <w:lvlJc w:val="left"/>
      <w:pPr>
        <w:ind w:left="5432" w:hanging="137"/>
      </w:pPr>
      <w:rPr>
        <w:rFonts w:hint="default"/>
        <w:lang w:val="pt-PT" w:eastAsia="en-US" w:bidi="ar-SA"/>
      </w:rPr>
    </w:lvl>
    <w:lvl w:ilvl="6" w:tplc="4E407302">
      <w:numFmt w:val="bullet"/>
      <w:lvlText w:val="•"/>
      <w:lvlJc w:val="left"/>
      <w:pPr>
        <w:ind w:left="6358" w:hanging="137"/>
      </w:pPr>
      <w:rPr>
        <w:rFonts w:hint="default"/>
        <w:lang w:val="pt-PT" w:eastAsia="en-US" w:bidi="ar-SA"/>
      </w:rPr>
    </w:lvl>
    <w:lvl w:ilvl="7" w:tplc="A398752A">
      <w:numFmt w:val="bullet"/>
      <w:lvlText w:val="•"/>
      <w:lvlJc w:val="left"/>
      <w:pPr>
        <w:ind w:left="7285" w:hanging="137"/>
      </w:pPr>
      <w:rPr>
        <w:rFonts w:hint="default"/>
        <w:lang w:val="pt-PT" w:eastAsia="en-US" w:bidi="ar-SA"/>
      </w:rPr>
    </w:lvl>
    <w:lvl w:ilvl="8" w:tplc="2FD8FA4C">
      <w:numFmt w:val="bullet"/>
      <w:lvlText w:val="•"/>
      <w:lvlJc w:val="left"/>
      <w:pPr>
        <w:ind w:left="8211" w:hanging="137"/>
      </w:pPr>
      <w:rPr>
        <w:rFonts w:hint="default"/>
        <w:lang w:val="pt-PT" w:eastAsia="en-US" w:bidi="ar-SA"/>
      </w:rPr>
    </w:lvl>
  </w:abstractNum>
  <w:abstractNum w:abstractNumId="8" w15:restartNumberingAfterBreak="0">
    <w:nsid w:val="7E0B4C1D"/>
    <w:multiLevelType w:val="hybridMultilevel"/>
    <w:tmpl w:val="57C20B3E"/>
    <w:lvl w:ilvl="0" w:tplc="9970CF8A">
      <w:start w:val="1"/>
      <w:numFmt w:val="upperRoman"/>
      <w:lvlText w:val="%1"/>
      <w:lvlJc w:val="left"/>
      <w:pPr>
        <w:ind w:left="796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467EBE">
      <w:numFmt w:val="bullet"/>
      <w:lvlText w:val="•"/>
      <w:lvlJc w:val="left"/>
      <w:pPr>
        <w:ind w:left="1726" w:hanging="128"/>
      </w:pPr>
      <w:rPr>
        <w:rFonts w:hint="default"/>
        <w:lang w:val="pt-PT" w:eastAsia="en-US" w:bidi="ar-SA"/>
      </w:rPr>
    </w:lvl>
    <w:lvl w:ilvl="2" w:tplc="A9301F5A">
      <w:numFmt w:val="bullet"/>
      <w:lvlText w:val="•"/>
      <w:lvlJc w:val="left"/>
      <w:pPr>
        <w:ind w:left="2652" w:hanging="128"/>
      </w:pPr>
      <w:rPr>
        <w:rFonts w:hint="default"/>
        <w:lang w:val="pt-PT" w:eastAsia="en-US" w:bidi="ar-SA"/>
      </w:rPr>
    </w:lvl>
    <w:lvl w:ilvl="3" w:tplc="3FFE3DF8">
      <w:numFmt w:val="bullet"/>
      <w:lvlText w:val="•"/>
      <w:lvlJc w:val="left"/>
      <w:pPr>
        <w:ind w:left="3579" w:hanging="128"/>
      </w:pPr>
      <w:rPr>
        <w:rFonts w:hint="default"/>
        <w:lang w:val="pt-PT" w:eastAsia="en-US" w:bidi="ar-SA"/>
      </w:rPr>
    </w:lvl>
    <w:lvl w:ilvl="4" w:tplc="A5BC964E">
      <w:numFmt w:val="bullet"/>
      <w:lvlText w:val="•"/>
      <w:lvlJc w:val="left"/>
      <w:pPr>
        <w:ind w:left="4505" w:hanging="128"/>
      </w:pPr>
      <w:rPr>
        <w:rFonts w:hint="default"/>
        <w:lang w:val="pt-PT" w:eastAsia="en-US" w:bidi="ar-SA"/>
      </w:rPr>
    </w:lvl>
    <w:lvl w:ilvl="5" w:tplc="A190A29E">
      <w:numFmt w:val="bullet"/>
      <w:lvlText w:val="•"/>
      <w:lvlJc w:val="left"/>
      <w:pPr>
        <w:ind w:left="5432" w:hanging="128"/>
      </w:pPr>
      <w:rPr>
        <w:rFonts w:hint="default"/>
        <w:lang w:val="pt-PT" w:eastAsia="en-US" w:bidi="ar-SA"/>
      </w:rPr>
    </w:lvl>
    <w:lvl w:ilvl="6" w:tplc="0088E132">
      <w:numFmt w:val="bullet"/>
      <w:lvlText w:val="•"/>
      <w:lvlJc w:val="left"/>
      <w:pPr>
        <w:ind w:left="6358" w:hanging="128"/>
      </w:pPr>
      <w:rPr>
        <w:rFonts w:hint="default"/>
        <w:lang w:val="pt-PT" w:eastAsia="en-US" w:bidi="ar-SA"/>
      </w:rPr>
    </w:lvl>
    <w:lvl w:ilvl="7" w:tplc="CAAA560E">
      <w:numFmt w:val="bullet"/>
      <w:lvlText w:val="•"/>
      <w:lvlJc w:val="left"/>
      <w:pPr>
        <w:ind w:left="7285" w:hanging="128"/>
      </w:pPr>
      <w:rPr>
        <w:rFonts w:hint="default"/>
        <w:lang w:val="pt-PT" w:eastAsia="en-US" w:bidi="ar-SA"/>
      </w:rPr>
    </w:lvl>
    <w:lvl w:ilvl="8" w:tplc="B8FACB16">
      <w:numFmt w:val="bullet"/>
      <w:lvlText w:val="•"/>
      <w:lvlJc w:val="left"/>
      <w:pPr>
        <w:ind w:left="8211" w:hanging="128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A9"/>
    <w:rsid w:val="000269B7"/>
    <w:rsid w:val="000E1B35"/>
    <w:rsid w:val="000E74D3"/>
    <w:rsid w:val="00115CC5"/>
    <w:rsid w:val="00164475"/>
    <w:rsid w:val="002B60FB"/>
    <w:rsid w:val="002E0098"/>
    <w:rsid w:val="005802D1"/>
    <w:rsid w:val="005E6266"/>
    <w:rsid w:val="00727D31"/>
    <w:rsid w:val="00784878"/>
    <w:rsid w:val="009207B3"/>
    <w:rsid w:val="009A44C6"/>
    <w:rsid w:val="009E1259"/>
    <w:rsid w:val="009E4D8C"/>
    <w:rsid w:val="00A54A27"/>
    <w:rsid w:val="00A75BAE"/>
    <w:rsid w:val="00AE673A"/>
    <w:rsid w:val="00B20B2F"/>
    <w:rsid w:val="00BC1EB7"/>
    <w:rsid w:val="00C638BF"/>
    <w:rsid w:val="00CB44F8"/>
    <w:rsid w:val="00D42E31"/>
    <w:rsid w:val="00E51513"/>
    <w:rsid w:val="00E6252D"/>
    <w:rsid w:val="00E943CF"/>
    <w:rsid w:val="00F51FC6"/>
    <w:rsid w:val="00F82AA9"/>
    <w:rsid w:val="00F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97B4"/>
  <w15:chartTrackingRefBased/>
  <w15:docId w15:val="{56EA6D7E-D728-4671-A295-21EF6F39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8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3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2A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82AA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82AA9"/>
    <w:rPr>
      <w:color w:val="0000FF"/>
      <w:u w:val="single"/>
    </w:rPr>
  </w:style>
  <w:style w:type="character" w:customStyle="1" w:styleId="label">
    <w:name w:val="label"/>
    <w:basedOn w:val="Fontepargpadro"/>
    <w:rsid w:val="00F82AA9"/>
  </w:style>
  <w:style w:type="character" w:customStyle="1" w:styleId="v">
    <w:name w:val="v"/>
    <w:basedOn w:val="Fontepargpadro"/>
    <w:rsid w:val="00F82AA9"/>
  </w:style>
  <w:style w:type="paragraph" w:styleId="Cabealho">
    <w:name w:val="header"/>
    <w:basedOn w:val="Normal"/>
    <w:link w:val="CabealhoChar"/>
    <w:uiPriority w:val="99"/>
    <w:unhideWhenUsed/>
    <w:rsid w:val="002E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098"/>
  </w:style>
  <w:style w:type="paragraph" w:styleId="Rodap">
    <w:name w:val="footer"/>
    <w:basedOn w:val="Normal"/>
    <w:link w:val="RodapChar"/>
    <w:uiPriority w:val="99"/>
    <w:unhideWhenUsed/>
    <w:rsid w:val="002E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098"/>
  </w:style>
  <w:style w:type="paragraph" w:styleId="NormalWeb">
    <w:name w:val="Normal (Web)"/>
    <w:basedOn w:val="Normal"/>
    <w:uiPriority w:val="99"/>
    <w:semiHidden/>
    <w:unhideWhenUsed/>
    <w:rsid w:val="009A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44C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27D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27D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27D3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27D31"/>
    <w:pPr>
      <w:widowControl w:val="0"/>
      <w:autoSpaceDE w:val="0"/>
      <w:autoSpaceDN w:val="0"/>
      <w:spacing w:after="0" w:line="240" w:lineRule="auto"/>
      <w:ind w:left="669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727D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38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1858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7</cp:revision>
  <cp:lastPrinted>2025-01-16T17:05:00Z</cp:lastPrinted>
  <dcterms:created xsi:type="dcterms:W3CDTF">2025-01-16T13:15:00Z</dcterms:created>
  <dcterms:modified xsi:type="dcterms:W3CDTF">2025-01-24T14:17:00Z</dcterms:modified>
</cp:coreProperties>
</file>